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3E6C0">
      <w:pPr>
        <w:pStyle w:val="9"/>
        <w:jc w:val="center"/>
      </w:pPr>
      <w:r>
        <w:rPr>
          <w:rFonts w:hint="eastAsia" w:ascii="宋体" w:hAnsi="宋体" w:cs="宋体"/>
          <w:b/>
          <w:bCs w:val="0"/>
          <w:sz w:val="36"/>
          <w:szCs w:val="36"/>
          <w:lang w:eastAsia="zh-CN"/>
        </w:rPr>
        <w:t>中山市古镇人民医院</w:t>
      </w:r>
      <w:r>
        <w:rPr>
          <w:rFonts w:hint="eastAsia" w:cs="宋体"/>
          <w:b/>
          <w:bCs w:val="0"/>
          <w:sz w:val="36"/>
          <w:szCs w:val="36"/>
          <w:lang w:val="en-US" w:eastAsia="zh-CN"/>
        </w:rPr>
        <w:t>旧院区机房设备搬迁到新院备用机房</w:t>
      </w:r>
      <w:r>
        <w:rPr>
          <w:rFonts w:hint="eastAsia" w:cs="宋体"/>
          <w:b/>
          <w:bCs w:val="0"/>
          <w:sz w:val="36"/>
          <w:szCs w:val="36"/>
          <w:lang w:eastAsia="zh-CN"/>
        </w:rPr>
        <w:t>项目</w:t>
      </w:r>
      <w:r>
        <w:rPr>
          <w:rFonts w:hint="eastAsia"/>
          <w:b/>
          <w:bCs w:val="0"/>
          <w:sz w:val="36"/>
          <w:szCs w:val="36"/>
        </w:rPr>
        <w:t>报价</w:t>
      </w:r>
      <w:r>
        <w:rPr>
          <w:b/>
          <w:bCs w:val="0"/>
          <w:sz w:val="36"/>
          <w:szCs w:val="36"/>
        </w:rPr>
        <w:t>邀请函</w:t>
      </w:r>
    </w:p>
    <w:p w14:paraId="3BE27157">
      <w:pPr>
        <w:pStyle w:val="9"/>
        <w:rPr>
          <w:rFonts w:ascii="微软雅黑" w:hAnsi="微软雅黑" w:eastAsia="微软雅黑"/>
        </w:rPr>
      </w:pPr>
      <w:r>
        <w:rPr>
          <w:rFonts w:hint="eastAsia"/>
        </w:rPr>
        <w:t>各潜在供应商：</w:t>
      </w:r>
    </w:p>
    <w:p w14:paraId="27C32B67">
      <w:pPr>
        <w:pStyle w:val="9"/>
        <w:ind w:firstLine="420" w:firstLineChars="200"/>
        <w:rPr>
          <w:rFonts w:ascii="微软雅黑" w:hAnsi="微软雅黑" w:eastAsia="微软雅黑"/>
        </w:rPr>
      </w:pPr>
      <w:r>
        <w:rPr>
          <w:rFonts w:hint="eastAsia"/>
        </w:rPr>
        <w:t>中山市古镇人民医院对</w:t>
      </w:r>
      <w:r>
        <w:rPr>
          <w:rFonts w:hint="eastAsia"/>
          <w:lang w:eastAsia="zh-CN"/>
        </w:rPr>
        <w:t>旧院区机房设备搬迁到新院备用机房</w:t>
      </w:r>
      <w:r>
        <w:rPr>
          <w:rFonts w:hint="eastAsia"/>
        </w:rPr>
        <w:t>项目进行采购，欢迎符合资格条件的报价人报价。</w:t>
      </w:r>
    </w:p>
    <w:p w14:paraId="6AA884F6">
      <w:pPr>
        <w:pStyle w:val="9"/>
        <w:rPr>
          <w:rFonts w:ascii="微软雅黑" w:hAnsi="微软雅黑" w:eastAsia="微软雅黑"/>
        </w:rPr>
      </w:pPr>
      <w:r>
        <w:rPr>
          <w:rFonts w:hint="eastAsia"/>
        </w:rPr>
        <w:t>一、项目名称：中山市古镇人民医院</w:t>
      </w:r>
      <w:r>
        <w:rPr>
          <w:rFonts w:hint="eastAsia"/>
          <w:lang w:eastAsia="zh-CN"/>
        </w:rPr>
        <w:t>旧院区机房设备搬迁到新院备用机房</w:t>
      </w:r>
      <w:r>
        <w:rPr>
          <w:rFonts w:hint="eastAsia"/>
        </w:rPr>
        <w:t>项目</w:t>
      </w:r>
    </w:p>
    <w:p w14:paraId="38E616DD">
      <w:pPr>
        <w:pStyle w:val="9"/>
        <w:rPr>
          <w:rFonts w:ascii="微软雅黑" w:hAnsi="微软雅黑" w:eastAsia="微软雅黑"/>
        </w:rPr>
      </w:pPr>
      <w:r>
        <w:rPr>
          <w:rFonts w:hint="eastAsia"/>
        </w:rPr>
        <w:t>二、采购上限价：该项目采购上限价为人民币</w:t>
      </w:r>
      <w:r>
        <w:rPr>
          <w:rFonts w:hint="eastAsia"/>
          <w:lang w:val="en-US" w:eastAsia="zh-CN"/>
        </w:rPr>
        <w:t>26000</w:t>
      </w:r>
      <w:r>
        <w:rPr>
          <w:rFonts w:hint="eastAsia"/>
        </w:rPr>
        <w:t>元（含税）。</w:t>
      </w:r>
    </w:p>
    <w:p w14:paraId="4A4BF595">
      <w:pPr>
        <w:pStyle w:val="9"/>
        <w:rPr>
          <w:rFonts w:ascii="微软雅黑" w:hAnsi="微软雅黑" w:eastAsia="微软雅黑"/>
        </w:rPr>
      </w:pPr>
      <w:r>
        <w:rPr>
          <w:rFonts w:hint="eastAsia"/>
        </w:rPr>
        <w:t>三、采购说明：</w:t>
      </w:r>
    </w:p>
    <w:p w14:paraId="65994F05">
      <w:pPr>
        <w:pStyle w:val="9"/>
        <w:rPr>
          <w:rFonts w:ascii="微软雅黑" w:hAnsi="微软雅黑" w:eastAsia="微软雅黑"/>
        </w:rPr>
      </w:pPr>
      <w:r>
        <w:rPr>
          <w:rFonts w:hint="eastAsia"/>
        </w:rPr>
        <w:t>（一）该项目报价要求各报价供应商报项目总价，报价超出采购上限价的供应商作无效询价报价。</w:t>
      </w:r>
    </w:p>
    <w:p w14:paraId="220D6546">
      <w:pPr>
        <w:pStyle w:val="9"/>
        <w:rPr>
          <w:rFonts w:ascii="微软雅黑" w:hAnsi="微软雅黑" w:eastAsia="微软雅黑"/>
        </w:rPr>
      </w:pPr>
      <w:r>
        <w:rPr>
          <w:rFonts w:hint="eastAsia"/>
        </w:rPr>
        <w:t>（二）确定中选供应商方式：</w:t>
      </w:r>
      <w:r>
        <w:rPr>
          <w:rFonts w:hint="eastAsia"/>
          <w:shd w:val="clear" w:color="auto" w:fill="FFFFFF"/>
        </w:rPr>
        <w:t>选取最低报价</w:t>
      </w:r>
      <w:r>
        <w:rPr>
          <w:rFonts w:hint="eastAsia"/>
        </w:rPr>
        <w:t>供应商（若报价供应商所报价格相同的，将采用摇珠或者抽签方式选定最终中选供应商）</w:t>
      </w:r>
    </w:p>
    <w:p w14:paraId="677C4D39">
      <w:pPr>
        <w:pStyle w:val="9"/>
        <w:rPr>
          <w:rFonts w:ascii="微软雅黑" w:hAnsi="微软雅黑" w:eastAsia="微软雅黑"/>
        </w:rPr>
      </w:pPr>
      <w:r>
        <w:rPr>
          <w:rFonts w:hint="eastAsia"/>
        </w:rPr>
        <w:t>（三）最终结算以按实结算为准，结算总价原则不得超出中选价，超出部分按照相关规定实施。</w:t>
      </w:r>
    </w:p>
    <w:p w14:paraId="30020355">
      <w:pPr>
        <w:pStyle w:val="9"/>
        <w:rPr>
          <w:rFonts w:ascii="微软雅黑" w:hAnsi="微软雅黑" w:eastAsia="微软雅黑"/>
        </w:rPr>
      </w:pPr>
      <w:r>
        <w:rPr>
          <w:rFonts w:hint="eastAsia"/>
        </w:rPr>
        <w:t>四、项目内容：该项目共一个项目包，需要对中山市古镇人民医院</w:t>
      </w:r>
      <w:r>
        <w:rPr>
          <w:rFonts w:hint="eastAsia" w:cs="宋体"/>
          <w:bCs/>
          <w:sz w:val="21"/>
          <w:szCs w:val="21"/>
          <w:lang w:eastAsia="zh-CN"/>
        </w:rPr>
        <w:t>旧院区机房设备搬迁到新院备用机房</w:t>
      </w:r>
      <w:r>
        <w:rPr>
          <w:rFonts w:hint="eastAsia"/>
        </w:rPr>
        <w:t>项目采购，详见需求部分。</w:t>
      </w:r>
    </w:p>
    <w:p w14:paraId="0F4AB084">
      <w:pPr>
        <w:pStyle w:val="9"/>
        <w:rPr>
          <w:rFonts w:ascii="微软雅黑" w:hAnsi="微软雅黑" w:eastAsia="微软雅黑"/>
        </w:rPr>
      </w:pPr>
      <w:r>
        <w:rPr>
          <w:rFonts w:hint="eastAsia"/>
        </w:rPr>
        <w:t>五、报价人资格要求：</w:t>
      </w:r>
    </w:p>
    <w:p w14:paraId="30AED84E">
      <w:pPr>
        <w:pStyle w:val="9"/>
        <w:rPr>
          <w:rFonts w:ascii="微软雅黑" w:hAnsi="微软雅黑" w:eastAsia="微软雅黑"/>
        </w:rPr>
      </w:pPr>
      <w:r>
        <w:rPr>
          <w:rFonts w:hint="eastAsia"/>
        </w:rPr>
        <w:t>1. 必须是具有独立承担民事责任能力的在中华人民共和国境内注册的法人或其他组织。</w:t>
      </w:r>
    </w:p>
    <w:p w14:paraId="4ED92D07">
      <w:pPr>
        <w:pStyle w:val="9"/>
        <w:rPr>
          <w:rFonts w:ascii="微软雅黑" w:hAnsi="微软雅黑" w:eastAsia="微软雅黑"/>
        </w:rPr>
      </w:pPr>
      <w:r>
        <w:rPr>
          <w:rFonts w:hint="eastAsia"/>
        </w:rPr>
        <w:t>2. 具备《中华人民共和国政府采购法》第二十二条资格条件。</w:t>
      </w:r>
    </w:p>
    <w:p w14:paraId="5F6E0AB5">
      <w:pPr>
        <w:pStyle w:val="9"/>
        <w:rPr>
          <w:rFonts w:ascii="微软雅黑" w:hAnsi="微软雅黑" w:eastAsia="微软雅黑"/>
        </w:rPr>
      </w:pPr>
      <w:r>
        <w:rPr>
          <w:rFonts w:hint="eastAsia"/>
        </w:rPr>
        <w:t>3. 不同的供应商之间有下列情形之一的，不接受作为参与同一采购项目竞争的供应商。</w:t>
      </w:r>
    </w:p>
    <w:p w14:paraId="48438BC5">
      <w:pPr>
        <w:pStyle w:val="9"/>
        <w:rPr>
          <w:rFonts w:ascii="微软雅黑" w:hAnsi="微软雅黑" w:eastAsia="微软雅黑"/>
        </w:rPr>
      </w:pPr>
      <w:r>
        <w:rPr>
          <w:rFonts w:hint="eastAsia"/>
        </w:rPr>
        <w:t>3.1 法定代表人或供应商负责人为同一人或者存在直接控股、管理关系的供应商。</w:t>
      </w:r>
    </w:p>
    <w:p w14:paraId="6C9DD809">
      <w:pPr>
        <w:pStyle w:val="9"/>
        <w:rPr>
          <w:rFonts w:ascii="微软雅黑" w:hAnsi="微软雅黑" w:eastAsia="微软雅黑"/>
        </w:rPr>
      </w:pPr>
      <w:r>
        <w:rPr>
          <w:rFonts w:hint="eastAsia"/>
        </w:rPr>
        <w:t>3.2 为采购项目提供整体设计、规范编制或者项目管理、监理、检测等服务的供应商。</w:t>
      </w:r>
    </w:p>
    <w:p w14:paraId="433DBE10">
      <w:pPr>
        <w:pStyle w:val="9"/>
        <w:rPr>
          <w:rFonts w:ascii="微软雅黑" w:hAnsi="微软雅黑" w:eastAsia="微软雅黑"/>
        </w:rPr>
      </w:pPr>
      <w:r>
        <w:rPr>
          <w:rFonts w:hint="eastAsia"/>
        </w:rPr>
        <w:t>3.3★报价人2023年以来参加本医院项目有自动放弃中标资格或被认定为提供虚假材料应标的不能参加本次项目。</w:t>
      </w:r>
    </w:p>
    <w:p w14:paraId="110C5B18">
      <w:pPr>
        <w:pStyle w:val="9"/>
        <w:rPr>
          <w:rFonts w:ascii="微软雅黑" w:hAnsi="微软雅黑" w:eastAsia="微软雅黑"/>
        </w:rPr>
      </w:pPr>
      <w:r>
        <w:rPr>
          <w:rFonts w:hint="eastAsia"/>
        </w:rPr>
        <w:t>4.供应商须无围标、串标行为，</w:t>
      </w:r>
      <w:r>
        <w:rPr>
          <w:rStyle w:val="13"/>
          <w:rFonts w:hint="eastAsia"/>
          <w:color w:val="000000"/>
        </w:rPr>
        <w:t>投标文件提供《无围标串通等违法违规行为承诺书》（承诺书格式自行编制）和提供《廉洁承诺书》(承诺书格式自行编制)。</w:t>
      </w:r>
    </w:p>
    <w:p w14:paraId="6C416BF1">
      <w:pPr>
        <w:pStyle w:val="9"/>
        <w:rPr>
          <w:rFonts w:ascii="微软雅黑" w:hAnsi="微软雅黑" w:eastAsia="微软雅黑"/>
        </w:rPr>
      </w:pPr>
      <w:r>
        <w:rPr>
          <w:rFonts w:hint="eastAsia"/>
        </w:rPr>
        <w:t>5.</w:t>
      </w:r>
      <w:r>
        <w:rPr>
          <w:rFonts w:hint="eastAsia"/>
          <w:color w:val="000000"/>
        </w:rPr>
        <w:t>本项目不接受联合体报价，</w:t>
      </w:r>
      <w:r>
        <w:rPr>
          <w:rFonts w:hint="eastAsia"/>
        </w:rPr>
        <w:t>不允许分包，一旦发现或被举报有分包行为，将取消中标资格，并列入黑名单，永久性不接纳为供应商。</w:t>
      </w:r>
    </w:p>
    <w:p w14:paraId="7F0F6CB0">
      <w:pPr>
        <w:pStyle w:val="9"/>
        <w:rPr>
          <w:rFonts w:ascii="微软雅黑" w:hAnsi="微软雅黑" w:eastAsia="微软雅黑"/>
        </w:rPr>
      </w:pPr>
      <w:r>
        <w:rPr>
          <w:rStyle w:val="13"/>
          <w:rFonts w:hint="eastAsia"/>
        </w:rPr>
        <w:t>六、报名时间和方式。</w:t>
      </w:r>
      <w:r>
        <w:rPr>
          <w:rFonts w:hint="eastAsia"/>
        </w:rPr>
        <w:t>（本次询价均使用北京时间，24小时制）</w:t>
      </w:r>
    </w:p>
    <w:p w14:paraId="35C6A393">
      <w:pPr>
        <w:pStyle w:val="9"/>
        <w:rPr>
          <w:rFonts w:hint="eastAsia"/>
        </w:rPr>
      </w:pPr>
      <w:r>
        <w:rPr>
          <w:rStyle w:val="13"/>
          <w:rFonts w:hint="eastAsia"/>
        </w:rPr>
        <w:t>报名时间</w:t>
      </w:r>
      <w:r>
        <w:rPr>
          <w:rFonts w:hint="eastAsia"/>
        </w:rPr>
        <w:t>：</w:t>
      </w:r>
      <w:r>
        <w:rPr>
          <w:rFonts w:hint="eastAsia"/>
          <w:color w:val="auto"/>
        </w:rPr>
        <w:t>202</w:t>
      </w:r>
      <w:r>
        <w:rPr>
          <w:rFonts w:hint="eastAsia"/>
          <w:color w:val="auto"/>
          <w:lang w:val="en-US" w:eastAsia="zh-CN"/>
        </w:rPr>
        <w:t>6</w:t>
      </w:r>
      <w:r>
        <w:rPr>
          <w:rFonts w:hint="eastAsia"/>
          <w:color w:val="auto"/>
        </w:rPr>
        <w:t>年</w:t>
      </w:r>
      <w:r>
        <w:rPr>
          <w:rFonts w:hint="eastAsia"/>
          <w:color w:val="auto"/>
          <w:lang w:val="en-US" w:eastAsia="zh-CN"/>
        </w:rPr>
        <w:t>10</w:t>
      </w:r>
      <w:r>
        <w:rPr>
          <w:rFonts w:hint="eastAsia"/>
          <w:color w:val="auto"/>
        </w:rPr>
        <w:t>月</w:t>
      </w:r>
      <w:r>
        <w:rPr>
          <w:rFonts w:hint="eastAsia"/>
          <w:color w:val="auto"/>
          <w:lang w:val="en-US" w:eastAsia="zh-CN"/>
        </w:rPr>
        <w:t>9</w:t>
      </w:r>
      <w:r>
        <w:rPr>
          <w:rFonts w:hint="eastAsia"/>
          <w:color w:val="auto"/>
        </w:rPr>
        <w:t>日至202</w:t>
      </w:r>
      <w:r>
        <w:rPr>
          <w:rFonts w:hint="eastAsia"/>
          <w:color w:val="auto"/>
          <w:lang w:val="en-US" w:eastAsia="zh-CN"/>
        </w:rPr>
        <w:t>6</w:t>
      </w:r>
      <w:r>
        <w:rPr>
          <w:rFonts w:hint="eastAsia"/>
          <w:color w:val="auto"/>
        </w:rPr>
        <w:t>年</w:t>
      </w:r>
      <w:r>
        <w:rPr>
          <w:rFonts w:hint="eastAsia"/>
          <w:color w:val="auto"/>
          <w:lang w:val="en-US" w:eastAsia="zh-CN"/>
        </w:rPr>
        <w:t>10</w:t>
      </w:r>
      <w:r>
        <w:rPr>
          <w:rFonts w:hint="eastAsia"/>
          <w:color w:val="auto"/>
        </w:rPr>
        <w:t>月</w:t>
      </w:r>
      <w:r>
        <w:rPr>
          <w:rFonts w:hint="eastAsia"/>
          <w:color w:val="auto"/>
          <w:lang w:val="en-US" w:eastAsia="zh-CN"/>
        </w:rPr>
        <w:t>15</w:t>
      </w:r>
      <w:r>
        <w:rPr>
          <w:rFonts w:hint="eastAsia"/>
        </w:rPr>
        <w:t>日(上午8:30-12:00，下午14:</w:t>
      </w:r>
      <w:r>
        <w:rPr>
          <w:rFonts w:hint="eastAsia"/>
          <w:lang w:val="en-US" w:eastAsia="zh-CN"/>
        </w:rPr>
        <w:t>0</w:t>
      </w:r>
      <w:r>
        <w:rPr>
          <w:rFonts w:hint="eastAsia"/>
        </w:rPr>
        <w:t>0-17:</w:t>
      </w:r>
      <w:r>
        <w:rPr>
          <w:rFonts w:hint="eastAsia"/>
          <w:lang w:val="en-US" w:eastAsia="zh-CN"/>
        </w:rPr>
        <w:t>0</w:t>
      </w:r>
      <w:r>
        <w:rPr>
          <w:rFonts w:hint="eastAsia"/>
        </w:rPr>
        <w:t>0分，节假日除外）</w:t>
      </w:r>
    </w:p>
    <w:p w14:paraId="5F6EECE4">
      <w:pPr>
        <w:pStyle w:val="9"/>
        <w:rPr>
          <w:rFonts w:hint="default" w:ascii="微软雅黑" w:hAnsi="微软雅黑" w:eastAsia="宋体"/>
          <w:lang w:val="en-US" w:eastAsia="zh-CN"/>
        </w:rPr>
      </w:pPr>
      <w:r>
        <w:rPr>
          <w:rStyle w:val="13"/>
          <w:rFonts w:hint="eastAsia"/>
        </w:rPr>
        <w:t>报名地点：</w:t>
      </w:r>
      <w:r>
        <w:rPr>
          <w:rFonts w:hint="eastAsia"/>
        </w:rPr>
        <w:t>中山市古镇人民医院</w:t>
      </w:r>
      <w:r>
        <w:rPr>
          <w:rFonts w:hint="eastAsia"/>
          <w:lang w:val="en-US" w:eastAsia="zh-CN"/>
        </w:rPr>
        <w:t>医技楼二楼信息科</w:t>
      </w:r>
    </w:p>
    <w:p w14:paraId="1F4AF3DD">
      <w:pPr>
        <w:pStyle w:val="9"/>
        <w:rPr>
          <w:rFonts w:ascii="微软雅黑" w:hAnsi="微软雅黑" w:eastAsia="微软雅黑"/>
        </w:rPr>
      </w:pPr>
      <w:r>
        <w:rPr>
          <w:rStyle w:val="13"/>
          <w:rFonts w:hint="eastAsia"/>
        </w:rPr>
        <w:t>报名方式：报价供应商现场、快递、邮寄等方式报名及提交以下资料（报价文件与报名可同一时间，快递、邮寄方式必须投递到</w:t>
      </w:r>
      <w:r>
        <w:rPr>
          <w:rFonts w:hint="eastAsia"/>
          <w:b/>
          <w:lang w:val="en-US" w:eastAsia="zh-CN"/>
        </w:rPr>
        <w:t>古镇人民医院10号楼</w:t>
      </w:r>
      <w:r>
        <w:rPr>
          <w:b/>
        </w:rPr>
        <w:t>，</w:t>
      </w:r>
      <w:r>
        <w:rPr>
          <w:rFonts w:hint="eastAsia"/>
          <w:b/>
          <w:lang w:val="en-US" w:eastAsia="zh-CN"/>
        </w:rPr>
        <w:t>信息科</w:t>
      </w:r>
      <w:r>
        <w:rPr>
          <w:rStyle w:val="13"/>
          <w:rFonts w:hint="eastAsia"/>
        </w:rPr>
        <w:t>，以签收时间为准。），不接受电话报名及提交资料。</w:t>
      </w:r>
    </w:p>
    <w:p w14:paraId="0048A7C3">
      <w:pPr>
        <w:pStyle w:val="9"/>
        <w:rPr>
          <w:rFonts w:ascii="微软雅黑" w:hAnsi="微软雅黑" w:eastAsia="微软雅黑"/>
        </w:rPr>
      </w:pPr>
      <w:r>
        <w:rPr>
          <w:rStyle w:val="13"/>
          <w:rFonts w:hint="eastAsia"/>
        </w:rPr>
        <w:t>①有效营业执照复印件、②法定代表人证明书原件、③经办人身份证复印件及法定代表人授权委托书原件。</w:t>
      </w:r>
      <w:r>
        <w:rPr>
          <w:rFonts w:hint="eastAsia"/>
        </w:rPr>
        <w:t>以上证件复印件加盖公章作为报名备案资料。</w:t>
      </w:r>
    </w:p>
    <w:p w14:paraId="7C442D21">
      <w:pPr>
        <w:pStyle w:val="9"/>
        <w:rPr>
          <w:rFonts w:ascii="微软雅黑" w:hAnsi="微软雅黑" w:eastAsia="微软雅黑"/>
        </w:rPr>
      </w:pPr>
      <w:r>
        <w:rPr>
          <w:rFonts w:hint="eastAsia"/>
        </w:rPr>
        <w:t>七、本询价文件规定的时间（本次询价均使用北京时间，24小时制）。</w:t>
      </w:r>
    </w:p>
    <w:p w14:paraId="32A5DC97">
      <w:pPr>
        <w:pStyle w:val="9"/>
        <w:rPr>
          <w:rFonts w:ascii="微软雅黑" w:hAnsi="微软雅黑" w:eastAsia="微软雅黑"/>
        </w:rPr>
      </w:pPr>
      <w:r>
        <w:rPr>
          <w:rFonts w:hint="eastAsia"/>
        </w:rPr>
        <w:t>八、</w:t>
      </w:r>
      <w:r>
        <w:rPr>
          <w:rStyle w:val="13"/>
          <w:rFonts w:hint="eastAsia"/>
        </w:rPr>
        <w:t>递交报价文件截止时间</w:t>
      </w:r>
      <w:r>
        <w:rPr>
          <w:rFonts w:hint="eastAsia"/>
        </w:rPr>
        <w:t>：</w:t>
      </w:r>
      <w:r>
        <w:rPr>
          <w:rStyle w:val="13"/>
          <w:rFonts w:hint="eastAsia"/>
          <w:color w:val="auto"/>
        </w:rPr>
        <w:t>202</w:t>
      </w:r>
      <w:r>
        <w:rPr>
          <w:rStyle w:val="13"/>
          <w:rFonts w:hint="eastAsia"/>
          <w:color w:val="auto"/>
          <w:lang w:val="en-US" w:eastAsia="zh-CN"/>
        </w:rPr>
        <w:t>6</w:t>
      </w:r>
      <w:r>
        <w:rPr>
          <w:rStyle w:val="13"/>
          <w:rFonts w:hint="eastAsia"/>
          <w:color w:val="auto"/>
        </w:rPr>
        <w:t>年</w:t>
      </w:r>
      <w:r>
        <w:rPr>
          <w:rStyle w:val="13"/>
          <w:rFonts w:hint="eastAsia"/>
          <w:color w:val="auto"/>
          <w:lang w:val="en-US" w:eastAsia="zh-CN"/>
        </w:rPr>
        <w:t>10</w:t>
      </w:r>
      <w:r>
        <w:rPr>
          <w:rStyle w:val="13"/>
          <w:rFonts w:hint="eastAsia"/>
          <w:color w:val="auto"/>
        </w:rPr>
        <w:t>月</w:t>
      </w:r>
      <w:r>
        <w:rPr>
          <w:rStyle w:val="13"/>
          <w:rFonts w:hint="eastAsia"/>
          <w:color w:val="auto"/>
          <w:lang w:val="en-US" w:eastAsia="zh-CN"/>
        </w:rPr>
        <w:t>15</w:t>
      </w:r>
      <w:r>
        <w:rPr>
          <w:rStyle w:val="13"/>
          <w:rFonts w:hint="eastAsia"/>
          <w:color w:val="auto"/>
        </w:rPr>
        <w:t>日上午12:00时（北京时间）</w:t>
      </w:r>
      <w:r>
        <w:rPr>
          <w:rStyle w:val="13"/>
          <w:rFonts w:hint="eastAsia"/>
        </w:rPr>
        <w:t>。</w:t>
      </w:r>
    </w:p>
    <w:p w14:paraId="7F2FBC4B">
      <w:pPr>
        <w:pStyle w:val="9"/>
        <w:rPr>
          <w:rFonts w:ascii="微软雅黑" w:hAnsi="微软雅黑" w:eastAsia="微软雅黑"/>
        </w:rPr>
      </w:pPr>
      <w:r>
        <w:rPr>
          <w:rFonts w:hint="eastAsia"/>
        </w:rPr>
        <w:t>九、询价评选时间：202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15</w:t>
      </w:r>
      <w:r>
        <w:rPr>
          <w:rFonts w:hint="eastAsia"/>
        </w:rPr>
        <w:t>日下午15:00（北京时间）。</w:t>
      </w:r>
    </w:p>
    <w:p w14:paraId="06EDE9CD">
      <w:pPr>
        <w:pStyle w:val="9"/>
        <w:rPr>
          <w:rFonts w:hint="default" w:ascii="微软雅黑" w:hAnsi="微软雅黑" w:eastAsia="宋体"/>
          <w:lang w:val="en-US" w:eastAsia="zh-CN"/>
        </w:rPr>
      </w:pPr>
      <w:r>
        <w:rPr>
          <w:rFonts w:hint="eastAsia"/>
        </w:rPr>
        <w:t>十、递交询价报价文件地点：中山市</w:t>
      </w:r>
      <w:r>
        <w:rPr>
          <w:rFonts w:hint="eastAsia"/>
          <w:lang w:val="en-US" w:eastAsia="zh-CN"/>
        </w:rPr>
        <w:t>古镇镇华博路199号</w:t>
      </w:r>
      <w:r>
        <w:t>，</w:t>
      </w:r>
      <w:r>
        <w:rPr>
          <w:rFonts w:hint="eastAsia"/>
          <w:lang w:val="en-US" w:eastAsia="zh-CN"/>
        </w:rPr>
        <w:t>信息科</w:t>
      </w:r>
    </w:p>
    <w:p w14:paraId="5AA5808E">
      <w:pPr>
        <w:pStyle w:val="9"/>
        <w:rPr>
          <w:rFonts w:ascii="微软雅黑" w:hAnsi="微软雅黑" w:eastAsia="微软雅黑"/>
        </w:rPr>
      </w:pPr>
      <w:r>
        <w:rPr>
          <w:rFonts w:hint="eastAsia"/>
        </w:rPr>
        <w:t>十一、中山市古镇人民医院将不负责报价人准备报价文件和递交报价文件所发生的任何成本或费用。</w:t>
      </w:r>
    </w:p>
    <w:p w14:paraId="5CFF71A0">
      <w:pPr>
        <w:pStyle w:val="9"/>
        <w:rPr>
          <w:rFonts w:ascii="微软雅黑" w:hAnsi="微软雅黑" w:eastAsia="微软雅黑"/>
        </w:rPr>
      </w:pPr>
      <w:r>
        <w:rPr>
          <w:rFonts w:hint="eastAsia"/>
        </w:rPr>
        <w:t>十二、采购人联系方式</w:t>
      </w:r>
    </w:p>
    <w:p w14:paraId="0E72699A">
      <w:pPr>
        <w:pStyle w:val="9"/>
        <w:rPr>
          <w:rFonts w:ascii="微软雅黑" w:hAnsi="微软雅黑" w:eastAsia="微软雅黑"/>
        </w:rPr>
      </w:pPr>
      <w:r>
        <w:rPr>
          <w:rFonts w:hint="eastAsia"/>
        </w:rPr>
        <w:t>地址:中山市</w:t>
      </w:r>
      <w:r>
        <w:rPr>
          <w:rFonts w:hint="eastAsia"/>
          <w:lang w:val="en-US" w:eastAsia="zh-CN"/>
        </w:rPr>
        <w:t>古镇镇华博路199号</w:t>
      </w:r>
      <w:r>
        <w:rPr>
          <w:rFonts w:hint="eastAsia"/>
        </w:rPr>
        <w:t>中山市古镇人民医院</w:t>
      </w:r>
      <w:r>
        <w:rPr>
          <w:rFonts w:hint="eastAsia"/>
          <w:lang w:val="en-US" w:eastAsia="zh-CN"/>
        </w:rPr>
        <w:t>医技楼二楼信息科</w:t>
      </w:r>
    </w:p>
    <w:p w14:paraId="6FAEF14F">
      <w:pPr>
        <w:pStyle w:val="9"/>
        <w:rPr>
          <w:rFonts w:hint="default" w:ascii="微软雅黑" w:hAnsi="微软雅黑" w:eastAsia="宋体"/>
          <w:lang w:val="en-US" w:eastAsia="zh-CN"/>
        </w:rPr>
      </w:pPr>
      <w:r>
        <w:rPr>
          <w:rFonts w:hint="eastAsia"/>
        </w:rPr>
        <w:t>联系人：</w:t>
      </w:r>
      <w:r>
        <w:rPr>
          <w:rFonts w:hint="eastAsia"/>
          <w:lang w:val="en-US" w:eastAsia="zh-CN"/>
        </w:rPr>
        <w:t>韩先生</w:t>
      </w:r>
    </w:p>
    <w:p w14:paraId="11B4AEFA">
      <w:pPr>
        <w:pStyle w:val="9"/>
        <w:rPr>
          <w:rFonts w:hint="default" w:ascii="微软雅黑" w:hAnsi="微软雅黑" w:eastAsia="宋体"/>
          <w:lang w:val="en-US" w:eastAsia="zh-CN"/>
        </w:rPr>
      </w:pPr>
      <w:r>
        <w:rPr>
          <w:rFonts w:hint="eastAsia"/>
        </w:rPr>
        <w:t>电话：0760-223</w:t>
      </w:r>
      <w:r>
        <w:rPr>
          <w:rFonts w:hint="eastAsia"/>
          <w:lang w:val="en-US" w:eastAsia="zh-CN"/>
        </w:rPr>
        <w:t>23791</w:t>
      </w:r>
    </w:p>
    <w:p w14:paraId="5E5033ED">
      <w:pPr>
        <w:pStyle w:val="9"/>
        <w:rPr>
          <w:rFonts w:ascii="微软雅黑" w:hAnsi="微软雅黑" w:eastAsia="微软雅黑"/>
        </w:rPr>
      </w:pPr>
      <w:r>
        <w:rPr>
          <w:rFonts w:hint="eastAsia"/>
        </w:rPr>
        <w:t>十三、监督部门：古镇人民医院监察室</w:t>
      </w:r>
    </w:p>
    <w:p w14:paraId="6179EE53">
      <w:pPr>
        <w:pStyle w:val="9"/>
        <w:rPr>
          <w:rFonts w:hint="eastAsia"/>
        </w:rPr>
      </w:pPr>
      <w:r>
        <w:rPr>
          <w:rFonts w:hint="eastAsia"/>
        </w:rPr>
        <w:t>联系电话：0760-22329962</w:t>
      </w:r>
    </w:p>
    <w:p w14:paraId="17CF7480">
      <w:pPr>
        <w:pStyle w:val="9"/>
        <w:rPr>
          <w:rFonts w:hint="eastAsia"/>
        </w:rPr>
      </w:pPr>
    </w:p>
    <w:p w14:paraId="2D2C33B9">
      <w:pPr>
        <w:pStyle w:val="9"/>
        <w:rPr>
          <w:rFonts w:hint="default" w:ascii="黑体" w:hAnsi="黑体" w:eastAsia="宋体" w:cs="黑体"/>
          <w:sz w:val="44"/>
          <w:szCs w:val="44"/>
          <w:lang w:val="en-US" w:eastAsia="zh-CN"/>
        </w:rPr>
      </w:pPr>
      <w:r>
        <w:rPr>
          <w:rStyle w:val="13"/>
          <w:rFonts w:hint="eastAsia"/>
          <w:sz w:val="28"/>
          <w:szCs w:val="28"/>
          <w:lang w:val="en-US" w:eastAsia="zh-CN"/>
        </w:rPr>
        <w:t>一、</w:t>
      </w:r>
      <w:r>
        <w:rPr>
          <w:rStyle w:val="13"/>
          <w:rFonts w:hint="eastAsia"/>
          <w:sz w:val="28"/>
          <w:szCs w:val="28"/>
        </w:rPr>
        <w:t>用户</w:t>
      </w:r>
      <w:r>
        <w:rPr>
          <w:rStyle w:val="13"/>
          <w:rFonts w:hint="eastAsia"/>
          <w:sz w:val="28"/>
          <w:szCs w:val="28"/>
          <w:lang w:val="en-US" w:eastAsia="zh-CN"/>
        </w:rPr>
        <w:t>需求</w:t>
      </w:r>
    </w:p>
    <w:p w14:paraId="1421B586">
      <w:pPr>
        <w:pStyle w:val="3"/>
        <w:ind w:firstLine="300"/>
        <w:rPr>
          <w:rFonts w:hint="eastAsia" w:ascii="宋体" w:hAnsi="宋体" w:eastAsia="宋体" w:cs="宋体"/>
          <w:color w:val="auto"/>
          <w:lang w:eastAsia="zh-CN"/>
        </w:rPr>
      </w:pPr>
      <w:r>
        <w:rPr>
          <w:rFonts w:hint="eastAsia" w:ascii="宋体" w:hAnsi="宋体" w:eastAsia="宋体" w:cs="宋体"/>
          <w:color w:val="auto"/>
          <w:lang w:eastAsia="zh-CN"/>
        </w:rPr>
        <w:t>第一章 项目概况</w:t>
      </w:r>
    </w:p>
    <w:p w14:paraId="647C6523">
      <w:pPr>
        <w:pStyle w:val="4"/>
        <w:ind w:firstLine="600"/>
        <w:rPr>
          <w:rFonts w:hint="eastAsia" w:ascii="宋体" w:hAnsi="宋体" w:eastAsia="宋体" w:cs="宋体"/>
          <w:color w:val="auto"/>
          <w:lang w:val="en-US" w:eastAsia="zh-CN"/>
        </w:rPr>
      </w:pPr>
      <w:r>
        <w:rPr>
          <w:rFonts w:hint="eastAsia" w:ascii="宋体" w:hAnsi="宋体" w:eastAsia="宋体" w:cs="宋体"/>
          <w:color w:val="auto"/>
        </w:rPr>
        <w:t>1.</w:t>
      </w:r>
      <w:r>
        <w:rPr>
          <w:rFonts w:hint="eastAsia" w:ascii="宋体" w:hAnsi="宋体" w:eastAsia="宋体" w:cs="宋体"/>
          <w:color w:val="auto"/>
          <w:lang w:val="en-US" w:eastAsia="zh-CN"/>
        </w:rPr>
        <w:t>1</w:t>
      </w:r>
      <w:r>
        <w:rPr>
          <w:rFonts w:hint="eastAsia" w:ascii="宋体" w:hAnsi="宋体" w:eastAsia="宋体" w:cs="宋体"/>
          <w:color w:val="auto"/>
        </w:rPr>
        <w:t xml:space="preserve"> 项目</w:t>
      </w:r>
      <w:r>
        <w:rPr>
          <w:rFonts w:hint="eastAsia" w:ascii="宋体" w:hAnsi="宋体" w:cs="宋体"/>
          <w:color w:val="auto"/>
          <w:lang w:val="en-US" w:eastAsia="zh-CN"/>
        </w:rPr>
        <w:t>需求</w:t>
      </w:r>
    </w:p>
    <w:p w14:paraId="67530EA9">
      <w:pPr>
        <w:ind w:firstLine="420"/>
        <w:rPr>
          <w:rFonts w:hint="eastAsia" w:ascii="宋体" w:hAnsi="宋体" w:eastAsia="宋体" w:cs="宋体"/>
          <w:color w:val="auto"/>
        </w:rPr>
      </w:pPr>
      <w:r>
        <w:rPr>
          <w:rFonts w:hint="eastAsia" w:ascii="宋体" w:hAnsi="宋体" w:eastAsia="宋体" w:cs="宋体"/>
          <w:color w:val="auto"/>
        </w:rPr>
        <w:t>中山市古镇人民医院旧信息系统机房位于旧院区门诊楼4层，共8个机柜，其中6个设备柜、2个网络线路柜。新院区投入运营后旧院区不再维护，机房设备必须于旧楼停用前完成搬迁，否则门诊楼拆除将直接导致机房供电、网络中断，影响患者就医与医疗安全，并可能导致患者诊疗数据、财务数据等重要信息永久丢失。</w:t>
      </w:r>
    </w:p>
    <w:p w14:paraId="6C812D83">
      <w:pPr>
        <w:ind w:firstLine="420"/>
        <w:rPr>
          <w:rFonts w:hint="eastAsia" w:ascii="宋体" w:hAnsi="宋体" w:eastAsia="宋体" w:cs="宋体"/>
          <w:color w:val="auto"/>
        </w:rPr>
      </w:pPr>
      <w:r>
        <w:rPr>
          <w:rFonts w:hint="eastAsia" w:ascii="宋体" w:hAnsi="宋体" w:eastAsia="宋体" w:cs="宋体"/>
          <w:color w:val="auto"/>
        </w:rPr>
        <w:t>医院现有网络按功能区域划分为外网区、外网专线区、内网办公区、安全管理区、数据中心区五大区域。新院区中心机房已建成，核心业务HIS服务器等部署于新院区机房；新旧院区网络通过静态路由实现跨院区互通，旧院区核心设备保留业务核心VLAN80及对应服务器网关，新院区核心设备未配置VLAN80网关。由此形成以下风险：</w:t>
      </w:r>
    </w:p>
    <w:p w14:paraId="63125C0A">
      <w:pPr>
        <w:pStyle w:val="36"/>
        <w:ind w:left="420"/>
        <w:rPr>
          <w:rFonts w:hint="eastAsia" w:ascii="宋体" w:hAnsi="宋体" w:eastAsia="宋体" w:cs="宋体"/>
          <w:color w:val="auto"/>
        </w:rPr>
      </w:pPr>
      <w:r>
        <w:rPr>
          <w:rFonts w:hint="eastAsia" w:ascii="宋体" w:hAnsi="宋体" w:eastAsia="宋体" w:cs="宋体"/>
          <w:color w:val="auto"/>
        </w:rPr>
        <w:t>1. 业务流量依赖新旧院区静态路由转发；</w:t>
      </w:r>
    </w:p>
    <w:p w14:paraId="08DEDFE3">
      <w:pPr>
        <w:pStyle w:val="36"/>
        <w:ind w:left="420"/>
        <w:rPr>
          <w:rFonts w:hint="eastAsia" w:ascii="宋体" w:hAnsi="宋体" w:eastAsia="宋体" w:cs="宋体"/>
          <w:color w:val="auto"/>
        </w:rPr>
      </w:pPr>
      <w:r>
        <w:rPr>
          <w:rFonts w:hint="eastAsia" w:ascii="宋体" w:hAnsi="宋体" w:eastAsia="宋体" w:cs="宋体"/>
          <w:color w:val="auto"/>
        </w:rPr>
        <w:t>2. 旧院区核心设备、市电、链路任意环节故障，尤其是旧院区停电，会直接中断新院区HIS核心业务，导致全院业务瘫痪。</w:t>
      </w:r>
    </w:p>
    <w:p w14:paraId="1344160D">
      <w:pPr>
        <w:ind w:firstLine="420"/>
        <w:rPr>
          <w:rFonts w:hint="eastAsia" w:ascii="宋体" w:hAnsi="宋体" w:eastAsia="宋体" w:cs="宋体"/>
          <w:color w:val="auto"/>
        </w:rPr>
      </w:pPr>
      <w:r>
        <w:rPr>
          <w:rFonts w:hint="eastAsia" w:ascii="宋体" w:hAnsi="宋体" w:eastAsia="宋体" w:cs="宋体"/>
          <w:color w:val="auto"/>
        </w:rPr>
        <w:t>本次采购需将业务核心VLAN及服务器网关完整迁移至新院区核心设备，删除新旧院区互通的静态路由及旧院区对应VLAN配置，剥离新院区核心业务对旧院区网络与电力环境的依赖。</w:t>
      </w:r>
    </w:p>
    <w:p w14:paraId="2C1E9F24">
      <w:pPr>
        <w:pStyle w:val="3"/>
        <w:ind w:firstLine="300"/>
        <w:rPr>
          <w:rFonts w:hint="eastAsia" w:ascii="宋体" w:hAnsi="宋体" w:eastAsia="宋体" w:cs="宋体"/>
          <w:color w:val="auto"/>
        </w:rPr>
      </w:pPr>
      <w:r>
        <w:rPr>
          <w:rFonts w:hint="eastAsia" w:ascii="宋体" w:hAnsi="宋体" w:eastAsia="宋体" w:cs="宋体"/>
          <w:color w:val="auto"/>
        </w:rPr>
        <w:t>第二章 采购内容</w:t>
      </w:r>
    </w:p>
    <w:p w14:paraId="7C48ECE6">
      <w:pPr>
        <w:pStyle w:val="4"/>
        <w:ind w:firstLine="600"/>
        <w:rPr>
          <w:rFonts w:hint="eastAsia" w:ascii="宋体" w:hAnsi="宋体" w:eastAsia="宋体" w:cs="宋体"/>
          <w:color w:val="auto"/>
        </w:rPr>
      </w:pPr>
      <w:r>
        <w:rPr>
          <w:rFonts w:hint="eastAsia" w:ascii="宋体" w:hAnsi="宋体" w:eastAsia="宋体" w:cs="宋体"/>
          <w:color w:val="auto"/>
        </w:rPr>
        <w:t>2.1 采购清单</w:t>
      </w:r>
    </w:p>
    <w:p w14:paraId="01D5A2F9">
      <w:pPr>
        <w:ind w:firstLine="420"/>
        <w:rPr>
          <w:rFonts w:hint="eastAsia" w:ascii="宋体" w:hAnsi="宋体" w:eastAsia="宋体" w:cs="宋体"/>
          <w:color w:val="auto"/>
        </w:rPr>
      </w:pPr>
      <w:r>
        <w:rPr>
          <w:rFonts w:hint="eastAsia" w:ascii="宋体" w:hAnsi="宋体" w:eastAsia="宋体" w:cs="宋体"/>
          <w:color w:val="auto"/>
        </w:rPr>
        <w:t>本项目采购内容按两类组织：机房装修与综合布线工程、技术服务。采购清单如下。</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75"/>
        <w:gridCol w:w="1792"/>
        <w:gridCol w:w="981"/>
        <w:gridCol w:w="895"/>
        <w:gridCol w:w="4682"/>
      </w:tblGrid>
      <w:tr w14:paraId="13D1C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0" w:type="auto"/>
            <w:vAlign w:val="center"/>
          </w:tcPr>
          <w:p w14:paraId="55B0F98C">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序号</w:t>
            </w:r>
          </w:p>
        </w:tc>
        <w:tc>
          <w:tcPr>
            <w:tcW w:w="0" w:type="auto"/>
            <w:vAlign w:val="center"/>
          </w:tcPr>
          <w:p w14:paraId="0162522B">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货物／服务名称</w:t>
            </w:r>
          </w:p>
        </w:tc>
        <w:tc>
          <w:tcPr>
            <w:tcW w:w="0" w:type="auto"/>
            <w:vAlign w:val="center"/>
          </w:tcPr>
          <w:p w14:paraId="33F6FB16">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数量</w:t>
            </w:r>
          </w:p>
        </w:tc>
        <w:tc>
          <w:tcPr>
            <w:tcW w:w="0" w:type="auto"/>
            <w:vAlign w:val="center"/>
          </w:tcPr>
          <w:p w14:paraId="250B4F11">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单位</w:t>
            </w:r>
          </w:p>
        </w:tc>
        <w:tc>
          <w:tcPr>
            <w:tcW w:w="4682" w:type="dxa"/>
            <w:vAlign w:val="center"/>
          </w:tcPr>
          <w:p w14:paraId="3DE4F683">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备注</w:t>
            </w:r>
          </w:p>
        </w:tc>
      </w:tr>
      <w:tr w14:paraId="5FDA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727FAA53">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0" w:type="auto"/>
            <w:vAlign w:val="center"/>
          </w:tcPr>
          <w:p w14:paraId="26B6235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机房装修与综合布线工程</w:t>
            </w:r>
          </w:p>
        </w:tc>
        <w:tc>
          <w:tcPr>
            <w:tcW w:w="0" w:type="auto"/>
            <w:vAlign w:val="center"/>
          </w:tcPr>
          <w:p w14:paraId="3477B8AC">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0" w:type="auto"/>
            <w:vAlign w:val="center"/>
          </w:tcPr>
          <w:p w14:paraId="6FF46B0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项</w:t>
            </w:r>
          </w:p>
        </w:tc>
        <w:tc>
          <w:tcPr>
            <w:tcW w:w="4682" w:type="dxa"/>
            <w:vAlign w:val="center"/>
          </w:tcPr>
          <w:p w14:paraId="0EBC10B8">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各分项规格与数量见机房装修与综合布线技术参数要求</w:t>
            </w:r>
          </w:p>
        </w:tc>
      </w:tr>
      <w:tr w14:paraId="359DF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75" w:type="dxa"/>
            <w:vAlign w:val="center"/>
          </w:tcPr>
          <w:p w14:paraId="3A20252C">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2</w:t>
            </w:r>
          </w:p>
        </w:tc>
        <w:tc>
          <w:tcPr>
            <w:tcW w:w="1792" w:type="dxa"/>
            <w:vAlign w:val="center"/>
          </w:tcPr>
          <w:p w14:paraId="7E3EEC30">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技术服务</w:t>
            </w:r>
          </w:p>
        </w:tc>
        <w:tc>
          <w:tcPr>
            <w:tcW w:w="981" w:type="dxa"/>
            <w:vAlign w:val="center"/>
          </w:tcPr>
          <w:p w14:paraId="4EF7DA28">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895" w:type="dxa"/>
            <w:vAlign w:val="center"/>
          </w:tcPr>
          <w:p w14:paraId="15791FF4">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项</w:t>
            </w:r>
          </w:p>
        </w:tc>
        <w:tc>
          <w:tcPr>
            <w:tcW w:w="4682" w:type="dxa"/>
            <w:vAlign w:val="center"/>
          </w:tcPr>
          <w:p w14:paraId="62CB8AF0">
            <w:pPr>
              <w:snapToGrid w:val="0"/>
              <w:spacing w:after="0" w:line="240" w:lineRule="auto"/>
              <w:ind w:firstLine="0" w:firstLineChars="0"/>
              <w:jc w:val="left"/>
              <w:rPr>
                <w:rFonts w:hint="eastAsia" w:ascii="宋体" w:hAnsi="宋体" w:eastAsia="宋体" w:cs="宋体"/>
                <w:color w:val="auto"/>
              </w:rPr>
            </w:pPr>
            <w:r>
              <w:rPr>
                <w:rFonts w:hint="eastAsia" w:ascii="宋体" w:hAnsi="宋体" w:eastAsia="宋体" w:cs="宋体"/>
                <w:b w:val="0"/>
                <w:color w:val="auto"/>
                <w:sz w:val="21"/>
              </w:rPr>
              <w:t>具体参数见技术服务技术参数要求</w:t>
            </w:r>
          </w:p>
        </w:tc>
      </w:tr>
    </w:tbl>
    <w:p w14:paraId="463F496C">
      <w:pPr>
        <w:pStyle w:val="4"/>
        <w:ind w:firstLine="600"/>
        <w:rPr>
          <w:rFonts w:hint="eastAsia" w:ascii="宋体" w:hAnsi="宋体" w:eastAsia="宋体" w:cs="宋体"/>
          <w:color w:val="auto"/>
        </w:rPr>
      </w:pPr>
      <w:r>
        <w:rPr>
          <w:rFonts w:hint="eastAsia" w:ascii="宋体" w:hAnsi="宋体" w:eastAsia="宋体" w:cs="宋体"/>
          <w:color w:val="auto"/>
        </w:rPr>
        <w:t>2.2 搬迁设备范围</w:t>
      </w:r>
    </w:p>
    <w:p w14:paraId="16DA6A11">
      <w:pPr>
        <w:ind w:firstLine="420"/>
        <w:rPr>
          <w:rFonts w:hint="eastAsia" w:ascii="宋体" w:hAnsi="宋体" w:eastAsia="宋体" w:cs="宋体"/>
          <w:color w:val="auto"/>
        </w:rPr>
      </w:pPr>
      <w:r>
        <w:rPr>
          <w:rFonts w:hint="eastAsia" w:ascii="宋体" w:hAnsi="宋体" w:eastAsia="宋体" w:cs="宋体"/>
          <w:color w:val="auto"/>
        </w:rPr>
        <w:t>本项目搬迁设备位于旧院区门诊楼4层主机房6个设备柜内，合计71台，按设备类别汇总如下。</w:t>
      </w:r>
    </w:p>
    <w:tbl>
      <w:tblPr>
        <w:tblStyle w:val="11"/>
        <w:tblW w:w="883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744"/>
        <w:gridCol w:w="4086"/>
      </w:tblGrid>
      <w:tr w14:paraId="04919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0" w:type="auto"/>
            <w:vAlign w:val="center"/>
          </w:tcPr>
          <w:p w14:paraId="7581622A">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设备类别</w:t>
            </w:r>
          </w:p>
        </w:tc>
        <w:tc>
          <w:tcPr>
            <w:tcW w:w="4086" w:type="dxa"/>
            <w:vAlign w:val="center"/>
          </w:tcPr>
          <w:p w14:paraId="7F9FD439">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数量（台）</w:t>
            </w:r>
          </w:p>
        </w:tc>
      </w:tr>
      <w:tr w14:paraId="0590C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F8C2207">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服务器</w:t>
            </w:r>
          </w:p>
        </w:tc>
        <w:tc>
          <w:tcPr>
            <w:tcW w:w="4086" w:type="dxa"/>
            <w:vAlign w:val="center"/>
          </w:tcPr>
          <w:p w14:paraId="1E025943">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42</w:t>
            </w:r>
          </w:p>
        </w:tc>
      </w:tr>
      <w:tr w14:paraId="182E2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1E4310D6">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存储设备</w:t>
            </w:r>
          </w:p>
        </w:tc>
        <w:tc>
          <w:tcPr>
            <w:tcW w:w="4086" w:type="dxa"/>
            <w:vAlign w:val="center"/>
          </w:tcPr>
          <w:p w14:paraId="0DE99B37">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7</w:t>
            </w:r>
          </w:p>
        </w:tc>
      </w:tr>
      <w:tr w14:paraId="6D742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3D51F5EA">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网络设备</w:t>
            </w:r>
          </w:p>
        </w:tc>
        <w:tc>
          <w:tcPr>
            <w:tcW w:w="4086" w:type="dxa"/>
            <w:vAlign w:val="center"/>
          </w:tcPr>
          <w:p w14:paraId="0C53F6F1">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11</w:t>
            </w:r>
          </w:p>
        </w:tc>
      </w:tr>
      <w:tr w14:paraId="2B617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1C0BBCDA">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网络安全设备</w:t>
            </w:r>
          </w:p>
        </w:tc>
        <w:tc>
          <w:tcPr>
            <w:tcW w:w="4086" w:type="dxa"/>
            <w:vAlign w:val="center"/>
          </w:tcPr>
          <w:p w14:paraId="0958AC79">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11</w:t>
            </w:r>
          </w:p>
        </w:tc>
      </w:tr>
      <w:tr w14:paraId="65757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744" w:type="dxa"/>
            <w:vAlign w:val="center"/>
          </w:tcPr>
          <w:p w14:paraId="552A75D3">
            <w:pPr>
              <w:snapToGrid w:val="0"/>
              <w:spacing w:after="0" w:line="240" w:lineRule="auto"/>
              <w:ind w:left="0" w:leftChars="0" w:right="0" w:rightChars="0" w:firstLine="0" w:firstLineChars="0"/>
              <w:jc w:val="left"/>
              <w:rPr>
                <w:rFonts w:hint="eastAsia" w:ascii="宋体" w:hAnsi="宋体" w:eastAsia="宋体" w:cs="宋体"/>
                <w:b/>
                <w:color w:val="auto"/>
              </w:rPr>
            </w:pPr>
            <w:r>
              <w:rPr>
                <w:rFonts w:hint="eastAsia" w:ascii="宋体" w:hAnsi="宋体" w:eastAsia="宋体" w:cs="宋体"/>
                <w:b/>
                <w:color w:val="auto"/>
                <w:sz w:val="21"/>
              </w:rPr>
              <w:t>合计</w:t>
            </w:r>
          </w:p>
        </w:tc>
        <w:tc>
          <w:tcPr>
            <w:tcW w:w="4086" w:type="dxa"/>
            <w:vAlign w:val="center"/>
          </w:tcPr>
          <w:p w14:paraId="58F709F9">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71</w:t>
            </w:r>
          </w:p>
        </w:tc>
      </w:tr>
    </w:tbl>
    <w:p w14:paraId="596FC76A">
      <w:pPr>
        <w:pStyle w:val="4"/>
        <w:ind w:firstLine="600"/>
        <w:rPr>
          <w:rFonts w:hint="eastAsia" w:ascii="宋体" w:hAnsi="宋体" w:eastAsia="宋体" w:cs="宋体"/>
          <w:color w:val="auto"/>
        </w:rPr>
      </w:pPr>
      <w:r>
        <w:rPr>
          <w:rFonts w:hint="eastAsia" w:ascii="宋体" w:hAnsi="宋体" w:eastAsia="宋体" w:cs="宋体"/>
          <w:color w:val="auto"/>
        </w:rPr>
        <w:t>2.3 服务界面划分</w:t>
      </w:r>
    </w:p>
    <w:p w14:paraId="46E847E2">
      <w:pPr>
        <w:ind w:firstLine="420"/>
        <w:rPr>
          <w:rFonts w:hint="eastAsia" w:ascii="宋体" w:hAnsi="宋体" w:eastAsia="宋体" w:cs="宋体"/>
          <w:color w:val="auto"/>
        </w:rPr>
      </w:pPr>
      <w:r>
        <w:rPr>
          <w:rFonts w:hint="eastAsia" w:ascii="宋体" w:hAnsi="宋体" w:eastAsia="宋体" w:cs="宋体"/>
          <w:color w:val="auto"/>
        </w:rPr>
        <w:t>为避免实施过程中界面不清，本项目服务界面划分如下。</w:t>
      </w:r>
    </w:p>
    <w:tbl>
      <w:tblPr>
        <w:tblStyle w:val="11"/>
        <w:tblW w:w="883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474"/>
        <w:gridCol w:w="3356"/>
      </w:tblGrid>
      <w:tr w14:paraId="54B78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0" w:type="auto"/>
            <w:vAlign w:val="center"/>
          </w:tcPr>
          <w:p w14:paraId="3F100729">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工作内容</w:t>
            </w:r>
          </w:p>
        </w:tc>
        <w:tc>
          <w:tcPr>
            <w:tcW w:w="3356" w:type="dxa"/>
            <w:vAlign w:val="center"/>
          </w:tcPr>
          <w:p w14:paraId="64EF8B15">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责任方</w:t>
            </w:r>
          </w:p>
        </w:tc>
      </w:tr>
      <w:tr w14:paraId="151D8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1ECEEF84">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容灾机房装修工程与综合布线（封窗、空调管口堵漏、网络桥架、六类网络跳线供货施工）</w:t>
            </w:r>
          </w:p>
        </w:tc>
        <w:tc>
          <w:tcPr>
            <w:tcW w:w="3356" w:type="dxa"/>
            <w:vAlign w:val="center"/>
          </w:tcPr>
          <w:p w14:paraId="03C76FED">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供应商</w:t>
            </w:r>
          </w:p>
        </w:tc>
      </w:tr>
      <w:tr w14:paraId="4E31A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293D3C5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设备搬迁实施（拆卸、包装、运输、上架、线缆连接、开机调试）</w:t>
            </w:r>
          </w:p>
        </w:tc>
        <w:tc>
          <w:tcPr>
            <w:tcW w:w="3356" w:type="dxa"/>
            <w:vAlign w:val="center"/>
          </w:tcPr>
          <w:p w14:paraId="2D41BE63">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供应商</w:t>
            </w:r>
          </w:p>
        </w:tc>
      </w:tr>
      <w:tr w14:paraId="0FDC7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1CB2C05">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网络规划与配置迁移、核心网络切换及回退</w:t>
            </w:r>
          </w:p>
        </w:tc>
        <w:tc>
          <w:tcPr>
            <w:tcW w:w="3356" w:type="dxa"/>
            <w:vAlign w:val="center"/>
          </w:tcPr>
          <w:p w14:paraId="4A649608">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供应商，须为新华三原厂或新华三授权的服务商</w:t>
            </w:r>
          </w:p>
        </w:tc>
      </w:tr>
      <w:tr w14:paraId="3ECD4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1903273C">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机房内部线缆整理与设备、线缆、端口标签标识；容灾机房网络调试与连通性、安全策略验证</w:t>
            </w:r>
          </w:p>
        </w:tc>
        <w:tc>
          <w:tcPr>
            <w:tcW w:w="3356" w:type="dxa"/>
            <w:vAlign w:val="center"/>
          </w:tcPr>
          <w:p w14:paraId="2904F8E6">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供应商</w:t>
            </w:r>
          </w:p>
        </w:tc>
      </w:tr>
      <w:tr w14:paraId="31ADA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4913011">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光纤线路准备、网口接入准备、政务网专线申请预开通</w:t>
            </w:r>
          </w:p>
        </w:tc>
        <w:tc>
          <w:tcPr>
            <w:tcW w:w="3356" w:type="dxa"/>
            <w:vAlign w:val="center"/>
          </w:tcPr>
          <w:p w14:paraId="30EDE66D">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供应商，采购人协调运营商</w:t>
            </w:r>
          </w:p>
        </w:tc>
      </w:tr>
      <w:tr w14:paraId="11B3E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ECB2011">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各业务系统数据全量备份、恢复验证与上电后功能验证</w:t>
            </w:r>
          </w:p>
        </w:tc>
        <w:tc>
          <w:tcPr>
            <w:tcW w:w="3356" w:type="dxa"/>
            <w:vAlign w:val="center"/>
          </w:tcPr>
          <w:p w14:paraId="019A2617">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各业务系统供应商，由采购人协调，本项目供应商配合</w:t>
            </w:r>
          </w:p>
        </w:tc>
      </w:tr>
      <w:tr w14:paraId="23EC7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74" w:type="dxa"/>
            <w:vAlign w:val="center"/>
          </w:tcPr>
          <w:p w14:paraId="3CEC2317">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搬迁时间窗口确认、业务停机通知、现场作业许可、备份完成确认书确认</w:t>
            </w:r>
          </w:p>
        </w:tc>
        <w:tc>
          <w:tcPr>
            <w:tcW w:w="3356" w:type="dxa"/>
            <w:vAlign w:val="center"/>
          </w:tcPr>
          <w:p w14:paraId="4A0B05DB">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采购人</w:t>
            </w:r>
          </w:p>
        </w:tc>
      </w:tr>
    </w:tbl>
    <w:p w14:paraId="0C75D2D0">
      <w:pPr>
        <w:pStyle w:val="3"/>
        <w:ind w:firstLine="300"/>
        <w:rPr>
          <w:rFonts w:hint="eastAsia" w:ascii="宋体" w:hAnsi="宋体" w:eastAsia="宋体" w:cs="宋体"/>
          <w:color w:val="auto"/>
        </w:rPr>
      </w:pPr>
      <w:r>
        <w:rPr>
          <w:rFonts w:hint="eastAsia" w:ascii="宋体" w:hAnsi="宋体" w:eastAsia="宋体" w:cs="宋体"/>
          <w:color w:val="auto"/>
        </w:rPr>
        <w:t>第三章 技术参数要求</w:t>
      </w:r>
    </w:p>
    <w:p w14:paraId="50B42069">
      <w:pPr>
        <w:ind w:firstLine="420"/>
        <w:rPr>
          <w:rFonts w:hint="eastAsia" w:ascii="宋体" w:hAnsi="宋体" w:eastAsia="宋体" w:cs="宋体"/>
          <w:color w:val="auto"/>
        </w:rPr>
      </w:pPr>
      <w:r>
        <w:rPr>
          <w:rFonts w:hint="eastAsia" w:ascii="宋体" w:hAnsi="宋体" w:eastAsia="宋体" w:cs="宋体"/>
          <w:color w:val="auto"/>
        </w:rPr>
        <w:t>本章与第二章采购清单逐项对应。凡标注"★"的条款为实质性响应条款，供应商必须完全满足，出现任何负偏离将被视为无效响应；未标注条款为一般性技术要求，供应商须逐条响应。</w:t>
      </w:r>
    </w:p>
    <w:p w14:paraId="6641620E">
      <w:pPr>
        <w:pStyle w:val="4"/>
        <w:ind w:firstLine="600"/>
        <w:rPr>
          <w:rFonts w:hint="eastAsia" w:ascii="宋体" w:hAnsi="宋体" w:eastAsia="宋体" w:cs="宋体"/>
          <w:color w:val="auto"/>
        </w:rPr>
      </w:pPr>
      <w:r>
        <w:rPr>
          <w:rFonts w:hint="eastAsia" w:ascii="宋体" w:hAnsi="宋体" w:eastAsia="宋体" w:cs="宋体"/>
          <w:color w:val="auto"/>
        </w:rPr>
        <w:t>3.1 机房装修与综合布线技术参数要求</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13"/>
        <w:gridCol w:w="1096"/>
        <w:gridCol w:w="1188"/>
        <w:gridCol w:w="5928"/>
      </w:tblGrid>
      <w:tr w14:paraId="19758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813" w:type="dxa"/>
            <w:vAlign w:val="center"/>
          </w:tcPr>
          <w:p w14:paraId="6C48EB44">
            <w:pPr>
              <w:keepNext/>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序号</w:t>
            </w:r>
          </w:p>
        </w:tc>
        <w:tc>
          <w:tcPr>
            <w:tcW w:w="1096" w:type="dxa"/>
            <w:vAlign w:val="center"/>
          </w:tcPr>
          <w:p w14:paraId="44767575">
            <w:pPr>
              <w:keepNext/>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组件</w:t>
            </w:r>
          </w:p>
        </w:tc>
        <w:tc>
          <w:tcPr>
            <w:tcW w:w="1188" w:type="dxa"/>
            <w:vAlign w:val="center"/>
          </w:tcPr>
          <w:p w14:paraId="0F84D6C2">
            <w:pPr>
              <w:keepNext/>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技术参数项</w:t>
            </w:r>
          </w:p>
        </w:tc>
        <w:tc>
          <w:tcPr>
            <w:tcW w:w="5928" w:type="dxa"/>
            <w:vAlign w:val="center"/>
          </w:tcPr>
          <w:p w14:paraId="762F8E5D">
            <w:pPr>
              <w:keepNext/>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技术指标要求</w:t>
            </w:r>
          </w:p>
        </w:tc>
      </w:tr>
      <w:tr w14:paraId="2A565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restart"/>
            <w:vAlign w:val="center"/>
          </w:tcPr>
          <w:p w14:paraId="4CD5CA54">
            <w:pPr>
              <w:keepNext/>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1096" w:type="dxa"/>
            <w:vMerge w:val="restart"/>
            <w:vAlign w:val="center"/>
          </w:tcPr>
          <w:p w14:paraId="40BFDB6C">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封窗工程</w:t>
            </w:r>
          </w:p>
        </w:tc>
        <w:tc>
          <w:tcPr>
            <w:tcW w:w="1188" w:type="dxa"/>
            <w:vAlign w:val="center"/>
          </w:tcPr>
          <w:p w14:paraId="1B518F16">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数量</w:t>
            </w:r>
          </w:p>
        </w:tc>
        <w:tc>
          <w:tcPr>
            <w:tcW w:w="5928" w:type="dxa"/>
            <w:vAlign w:val="center"/>
          </w:tcPr>
          <w:p w14:paraId="22EAF218">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封堵面积17.66平方米，按实际封堵面积计量</w:t>
            </w:r>
          </w:p>
        </w:tc>
      </w:tr>
      <w:tr w14:paraId="780B4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2F7017BC">
            <w:pPr>
              <w:keepNext/>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6413D5C5">
            <w:pPr>
              <w:keepNext/>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2B5AB075">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封堵范围</w:t>
            </w:r>
          </w:p>
        </w:tc>
        <w:tc>
          <w:tcPr>
            <w:tcW w:w="5928" w:type="dxa"/>
            <w:vAlign w:val="center"/>
          </w:tcPr>
          <w:p w14:paraId="609B724D">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覆盖机房现有外窗，实测尺寸为3.65米×2.56米与3.25米×2.56米</w:t>
            </w:r>
          </w:p>
        </w:tc>
      </w:tr>
      <w:tr w14:paraId="2ABC3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4D7773A4">
            <w:pPr>
              <w:keepNext/>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7A9C26ED">
            <w:pPr>
              <w:keepNext/>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538E55D2">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封堵做法</w:t>
            </w:r>
          </w:p>
        </w:tc>
        <w:tc>
          <w:tcPr>
            <w:tcW w:w="5928" w:type="dxa"/>
            <w:vAlign w:val="center"/>
          </w:tcPr>
          <w:p w14:paraId="167F3FB8">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保留原有外窗不拆除，采用防火石膏板覆盖封堵，四周以龙骨或角钢固定至墙体，窗框与墙体间缝隙用硅酮密封胶（玻璃胶）封边；做法应满足GB 50174-2017关于机房不应设置外窗的要求</w:t>
            </w:r>
          </w:p>
        </w:tc>
      </w:tr>
      <w:tr w14:paraId="598CF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11478C6B">
            <w:pPr>
              <w:keepNext/>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00E2A550">
            <w:pPr>
              <w:keepNext/>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11ECA9A2">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验收要求</w:t>
            </w:r>
          </w:p>
        </w:tc>
        <w:tc>
          <w:tcPr>
            <w:tcW w:w="5928" w:type="dxa"/>
            <w:vAlign w:val="center"/>
          </w:tcPr>
          <w:p w14:paraId="3F346ED7">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封堵面平整、无缝隙、无渗漏，密封胶固化完好；封堵后机房不应存在外窗透光、渗漏与漏风</w:t>
            </w:r>
          </w:p>
        </w:tc>
      </w:tr>
      <w:tr w14:paraId="64712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restart"/>
            <w:vAlign w:val="center"/>
          </w:tcPr>
          <w:p w14:paraId="3C26A466">
            <w:pPr>
              <w:keepNext/>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2</w:t>
            </w:r>
          </w:p>
        </w:tc>
        <w:tc>
          <w:tcPr>
            <w:tcW w:w="1096" w:type="dxa"/>
            <w:vMerge w:val="restart"/>
            <w:vAlign w:val="center"/>
          </w:tcPr>
          <w:p w14:paraId="4135C8B0">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空调管口堵漏</w:t>
            </w:r>
          </w:p>
        </w:tc>
        <w:tc>
          <w:tcPr>
            <w:tcW w:w="1188" w:type="dxa"/>
            <w:vAlign w:val="center"/>
          </w:tcPr>
          <w:p w14:paraId="2603111F">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数量</w:t>
            </w:r>
          </w:p>
        </w:tc>
        <w:tc>
          <w:tcPr>
            <w:tcW w:w="5928" w:type="dxa"/>
            <w:vAlign w:val="center"/>
          </w:tcPr>
          <w:p w14:paraId="58677A1F">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1项</w:t>
            </w:r>
          </w:p>
        </w:tc>
      </w:tr>
      <w:tr w14:paraId="4E718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10A94562">
            <w:pPr>
              <w:keepNext/>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48D7805E">
            <w:pPr>
              <w:keepNext/>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0E645FBB">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做法</w:t>
            </w:r>
          </w:p>
        </w:tc>
        <w:tc>
          <w:tcPr>
            <w:tcW w:w="5928" w:type="dxa"/>
            <w:vAlign w:val="center"/>
          </w:tcPr>
          <w:p w14:paraId="3BB94AA5">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空调管口与墙体间缝隙用硅酮密封胶（玻璃胶）封边填充密实，防止灰尘和雨水渗入</w:t>
            </w:r>
          </w:p>
        </w:tc>
      </w:tr>
      <w:tr w14:paraId="467FA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7378178A">
            <w:pPr>
              <w:keepNext/>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612BF82D">
            <w:pPr>
              <w:keepNext/>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6EDCB7AD">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空调利旧</w:t>
            </w:r>
          </w:p>
        </w:tc>
        <w:tc>
          <w:tcPr>
            <w:tcW w:w="5928" w:type="dxa"/>
            <w:vAlign w:val="center"/>
          </w:tcPr>
          <w:p w14:paraId="247F662E">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旧机房空调按需拆装搬运至新机房，由供应商完成拆装与复位</w:t>
            </w:r>
          </w:p>
        </w:tc>
      </w:tr>
      <w:tr w14:paraId="2AFBD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restart"/>
            <w:vAlign w:val="center"/>
          </w:tcPr>
          <w:p w14:paraId="1DDE6294">
            <w:pPr>
              <w:keepNext/>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3</w:t>
            </w:r>
          </w:p>
        </w:tc>
        <w:tc>
          <w:tcPr>
            <w:tcW w:w="1096" w:type="dxa"/>
            <w:vMerge w:val="restart"/>
            <w:vAlign w:val="center"/>
          </w:tcPr>
          <w:p w14:paraId="57A8CCB5">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网络桥架</w:t>
            </w:r>
          </w:p>
        </w:tc>
        <w:tc>
          <w:tcPr>
            <w:tcW w:w="1188" w:type="dxa"/>
            <w:vAlign w:val="center"/>
          </w:tcPr>
          <w:p w14:paraId="28D09A52">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数量</w:t>
            </w:r>
          </w:p>
        </w:tc>
        <w:tc>
          <w:tcPr>
            <w:tcW w:w="5928" w:type="dxa"/>
            <w:vAlign w:val="center"/>
          </w:tcPr>
          <w:p w14:paraId="5AEA5A41">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敷设长度3.7米，按实际铺设量计量</w:t>
            </w:r>
          </w:p>
        </w:tc>
      </w:tr>
      <w:tr w14:paraId="17FBF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20D3E385">
            <w:pPr>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7BCC1B56">
            <w:pPr>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6041B105">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规格与安装</w:t>
            </w:r>
          </w:p>
        </w:tc>
        <w:tc>
          <w:tcPr>
            <w:tcW w:w="5928" w:type="dxa"/>
            <w:vAlign w:val="center"/>
          </w:tcPr>
          <w:p w14:paraId="5330F38B">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金属桥架，沿机柜顶部上走线敷设，含材料搬运及安装</w:t>
            </w:r>
          </w:p>
        </w:tc>
      </w:tr>
      <w:tr w14:paraId="6E3B2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382AD3FA">
            <w:pPr>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5E12DFC1">
            <w:pPr>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151EE953">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安装要求</w:t>
            </w:r>
          </w:p>
        </w:tc>
        <w:tc>
          <w:tcPr>
            <w:tcW w:w="5928" w:type="dxa"/>
            <w:vAlign w:val="center"/>
          </w:tcPr>
          <w:p w14:paraId="5DE9D271">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安装牢固、横平竖直，全程可靠接地，强弱电分层隔离，穿墙及楼板位置做防火封堵</w:t>
            </w:r>
          </w:p>
        </w:tc>
      </w:tr>
      <w:tr w14:paraId="79948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restart"/>
            <w:vAlign w:val="center"/>
          </w:tcPr>
          <w:p w14:paraId="2C551752">
            <w:pPr>
              <w:keepNext/>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4</w:t>
            </w:r>
          </w:p>
        </w:tc>
        <w:tc>
          <w:tcPr>
            <w:tcW w:w="1096" w:type="dxa"/>
            <w:vMerge w:val="restart"/>
            <w:vAlign w:val="center"/>
          </w:tcPr>
          <w:p w14:paraId="048951B4">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六类网络跳线</w:t>
            </w:r>
          </w:p>
        </w:tc>
        <w:tc>
          <w:tcPr>
            <w:tcW w:w="1188" w:type="dxa"/>
            <w:vAlign w:val="center"/>
          </w:tcPr>
          <w:p w14:paraId="168DAD82">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数量</w:t>
            </w:r>
          </w:p>
        </w:tc>
        <w:tc>
          <w:tcPr>
            <w:tcW w:w="5928" w:type="dxa"/>
            <w:vAlign w:val="center"/>
          </w:tcPr>
          <w:p w14:paraId="7882EFEC">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100条</w:t>
            </w:r>
          </w:p>
        </w:tc>
      </w:tr>
      <w:tr w14:paraId="3C342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6EA91FF5">
            <w:pPr>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693BF94E">
            <w:pPr>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3CD8168E">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规格与性能</w:t>
            </w:r>
          </w:p>
        </w:tc>
        <w:tc>
          <w:tcPr>
            <w:tcW w:w="5928" w:type="dxa"/>
            <w:vAlign w:val="center"/>
          </w:tcPr>
          <w:p w14:paraId="48E60AAB">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六类非屏蔽成品原装跳线，单条长度10米，满足六类非屏蔽布线系统传输性能要求，与原机房设备及新机房配线系统兼容</w:t>
            </w:r>
          </w:p>
        </w:tc>
      </w:tr>
      <w:tr w14:paraId="46077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Merge w:val="continue"/>
            <w:vAlign w:val="center"/>
          </w:tcPr>
          <w:p w14:paraId="38D91EBE">
            <w:pPr>
              <w:snapToGrid w:val="0"/>
              <w:spacing w:after="0" w:line="240" w:lineRule="auto"/>
              <w:ind w:left="0" w:leftChars="0" w:right="0" w:rightChars="0" w:firstLine="0" w:firstLineChars="0"/>
              <w:jc w:val="center"/>
              <w:rPr>
                <w:rFonts w:hint="eastAsia" w:ascii="宋体" w:hAnsi="宋体" w:eastAsia="宋体" w:cs="宋体"/>
                <w:color w:val="auto"/>
              </w:rPr>
            </w:pPr>
          </w:p>
        </w:tc>
        <w:tc>
          <w:tcPr>
            <w:tcW w:w="1096" w:type="dxa"/>
            <w:vMerge w:val="continue"/>
            <w:vAlign w:val="center"/>
          </w:tcPr>
          <w:p w14:paraId="7C7D388F">
            <w:pPr>
              <w:snapToGrid w:val="0"/>
              <w:spacing w:after="0" w:line="240" w:lineRule="auto"/>
              <w:ind w:left="0" w:leftChars="0" w:right="0" w:rightChars="0" w:firstLine="0" w:firstLineChars="0"/>
              <w:jc w:val="left"/>
              <w:rPr>
                <w:rFonts w:hint="eastAsia" w:ascii="宋体" w:hAnsi="宋体" w:eastAsia="宋体" w:cs="宋体"/>
                <w:color w:val="auto"/>
              </w:rPr>
            </w:pPr>
          </w:p>
        </w:tc>
        <w:tc>
          <w:tcPr>
            <w:tcW w:w="1188" w:type="dxa"/>
            <w:vAlign w:val="center"/>
          </w:tcPr>
          <w:p w14:paraId="6AEFC879">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标识与交付</w:t>
            </w:r>
          </w:p>
        </w:tc>
        <w:tc>
          <w:tcPr>
            <w:tcW w:w="5928" w:type="dxa"/>
            <w:vAlign w:val="center"/>
          </w:tcPr>
          <w:p w14:paraId="0BEAB3FC">
            <w:pPr>
              <w:snapToGrid w:val="0"/>
              <w:spacing w:after="0" w:line="240" w:lineRule="auto"/>
              <w:ind w:firstLine="0" w:firstLineChars="0"/>
              <w:jc w:val="left"/>
              <w:rPr>
                <w:rFonts w:hint="eastAsia" w:ascii="宋体" w:hAnsi="宋体" w:eastAsia="宋体" w:cs="宋体"/>
                <w:color w:val="auto"/>
              </w:rPr>
            </w:pPr>
            <w:r>
              <w:rPr>
                <w:rFonts w:hint="eastAsia" w:ascii="宋体" w:hAnsi="宋体" w:eastAsia="宋体" w:cs="宋体"/>
                <w:b w:val="0"/>
                <w:color w:val="auto"/>
                <w:sz w:val="21"/>
              </w:rPr>
              <w:t>跳线两端做标准化标签标识；提交跳线敷设记录与标签对照表作为验收依据</w:t>
            </w:r>
          </w:p>
        </w:tc>
      </w:tr>
      <w:tr w14:paraId="37558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13" w:type="dxa"/>
            <w:vAlign w:val="center"/>
          </w:tcPr>
          <w:p w14:paraId="2B87408F">
            <w:pPr>
              <w:keepNext/>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5</w:t>
            </w:r>
          </w:p>
        </w:tc>
        <w:tc>
          <w:tcPr>
            <w:tcW w:w="1096" w:type="dxa"/>
            <w:vAlign w:val="center"/>
          </w:tcPr>
          <w:p w14:paraId="7EC46A90">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施工要求</w:t>
            </w:r>
          </w:p>
        </w:tc>
        <w:tc>
          <w:tcPr>
            <w:tcW w:w="1188" w:type="dxa"/>
            <w:vAlign w:val="center"/>
          </w:tcPr>
          <w:p w14:paraId="5039147E">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成品保护</w:t>
            </w:r>
          </w:p>
        </w:tc>
        <w:tc>
          <w:tcPr>
            <w:tcW w:w="5928" w:type="dxa"/>
            <w:vAlign w:val="center"/>
          </w:tcPr>
          <w:p w14:paraId="38D3FB1E">
            <w:pPr>
              <w:keepNext/>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施工期间对机房现有制冷、供电等基础设施及周边区域采取成品保护；作业完成后清理现场并清运建筑垃圾</w:t>
            </w:r>
          </w:p>
        </w:tc>
      </w:tr>
    </w:tbl>
    <w:p w14:paraId="7321EE81">
      <w:pPr>
        <w:pStyle w:val="4"/>
        <w:ind w:firstLine="600"/>
        <w:rPr>
          <w:rFonts w:hint="eastAsia" w:ascii="宋体" w:hAnsi="宋体" w:eastAsia="宋体" w:cs="宋体"/>
          <w:color w:val="auto"/>
        </w:rPr>
      </w:pPr>
      <w:r>
        <w:rPr>
          <w:rFonts w:hint="eastAsia" w:ascii="宋体" w:hAnsi="宋体" w:eastAsia="宋体" w:cs="宋体"/>
          <w:color w:val="auto"/>
        </w:rPr>
        <w:t>3.2 技术服务技术参数要求</w:t>
      </w:r>
    </w:p>
    <w:p w14:paraId="510F017E">
      <w:pPr>
        <w:ind w:firstLine="420"/>
        <w:rPr>
          <w:rFonts w:hint="eastAsia" w:ascii="宋体" w:hAnsi="宋体" w:eastAsia="宋体" w:cs="宋体"/>
          <w:color w:val="auto"/>
        </w:rPr>
      </w:pPr>
      <w:r>
        <w:rPr>
          <w:rFonts w:hint="eastAsia" w:ascii="宋体" w:hAnsi="宋体" w:eastAsia="宋体" w:cs="宋体"/>
          <w:color w:val="auto"/>
        </w:rPr>
        <w:t>3.2.1 机房设备搬迁实施</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57"/>
        <w:gridCol w:w="1388"/>
        <w:gridCol w:w="6780"/>
      </w:tblGrid>
      <w:tr w14:paraId="5FFCB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458DD98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序号</w:t>
            </w:r>
          </w:p>
        </w:tc>
        <w:tc>
          <w:tcPr>
            <w:tcW w:w="1388" w:type="dxa"/>
            <w:vAlign w:val="center"/>
          </w:tcPr>
          <w:p w14:paraId="6DDFFE1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技术参数项</w:t>
            </w:r>
          </w:p>
        </w:tc>
        <w:tc>
          <w:tcPr>
            <w:tcW w:w="6780" w:type="dxa"/>
            <w:vAlign w:val="center"/>
          </w:tcPr>
          <w:p w14:paraId="4522B81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技术指标要求</w:t>
            </w:r>
          </w:p>
        </w:tc>
      </w:tr>
      <w:tr w14:paraId="4BD31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7C51286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1</w:t>
            </w:r>
          </w:p>
        </w:tc>
        <w:tc>
          <w:tcPr>
            <w:tcW w:w="1388" w:type="dxa"/>
            <w:vAlign w:val="center"/>
          </w:tcPr>
          <w:p w14:paraId="5088285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搬迁范围</w:t>
            </w:r>
          </w:p>
        </w:tc>
        <w:tc>
          <w:tcPr>
            <w:tcW w:w="6780" w:type="dxa"/>
            <w:vAlign w:val="center"/>
          </w:tcPr>
          <w:p w14:paraId="127FCC7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旧院区门诊楼4层主机房6个设备柜内设备一次性拆卸、运输、安装至新院区门诊楼2层容灾机房6个标准设备柜，设备类别与台数按搬迁设备范围执行</w:t>
            </w:r>
          </w:p>
        </w:tc>
      </w:tr>
      <w:tr w14:paraId="27024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7C60576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2</w:t>
            </w:r>
          </w:p>
        </w:tc>
        <w:tc>
          <w:tcPr>
            <w:tcW w:w="1388" w:type="dxa"/>
            <w:vAlign w:val="center"/>
          </w:tcPr>
          <w:p w14:paraId="1705968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设备登记与勘察</w:t>
            </w:r>
          </w:p>
        </w:tc>
        <w:tc>
          <w:tcPr>
            <w:tcW w:w="6780" w:type="dxa"/>
            <w:vAlign w:val="center"/>
          </w:tcPr>
          <w:p w14:paraId="4C6DAFE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搬迁前逐台登记设备名称、品牌型号、尺寸、重量、运行状态与搬迁优先级，形成设备台账报采购人确认；实测新旧院区电梯载重与轿厢尺寸、楼梯宽度与转角平台、门洞尺寸，确认最大可搬运设备尺寸</w:t>
            </w:r>
          </w:p>
        </w:tc>
      </w:tr>
      <w:tr w14:paraId="60E41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1E70326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3</w:t>
            </w:r>
          </w:p>
        </w:tc>
        <w:tc>
          <w:tcPr>
            <w:tcW w:w="1388" w:type="dxa"/>
            <w:vAlign w:val="center"/>
          </w:tcPr>
          <w:p w14:paraId="514A6D5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搬运路线</w:t>
            </w:r>
          </w:p>
        </w:tc>
        <w:tc>
          <w:tcPr>
            <w:tcW w:w="6780" w:type="dxa"/>
            <w:vAlign w:val="center"/>
          </w:tcPr>
          <w:p w14:paraId="2F5166D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确定旧院区门诊楼4层至新院区门诊楼2层的最优路线，含跨院区车辆转运；采用厢式货车或防震车，按楼层—车辆—楼层三段式转运，明确限速与固定方式</w:t>
            </w:r>
          </w:p>
        </w:tc>
      </w:tr>
      <w:tr w14:paraId="17A09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29864BD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4</w:t>
            </w:r>
          </w:p>
        </w:tc>
        <w:tc>
          <w:tcPr>
            <w:tcW w:w="1388" w:type="dxa"/>
            <w:vAlign w:val="center"/>
          </w:tcPr>
          <w:p w14:paraId="20197F6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搬迁方式</w:t>
            </w:r>
          </w:p>
        </w:tc>
        <w:tc>
          <w:tcPr>
            <w:tcW w:w="6780" w:type="dxa"/>
            <w:vAlign w:val="center"/>
          </w:tcPr>
          <w:p w14:paraId="0D3A7B8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采用一次性冷搬迁，设备正常关机后搬运，整机防震运输、不拆盘，不采用在线热迁移或存储复制；数据库先执行检查点再关闭，禁止强制断电</w:t>
            </w:r>
          </w:p>
        </w:tc>
      </w:tr>
      <w:tr w14:paraId="63EBB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07C6A2E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5</w:t>
            </w:r>
          </w:p>
        </w:tc>
        <w:tc>
          <w:tcPr>
            <w:tcW w:w="1388" w:type="dxa"/>
            <w:vAlign w:val="center"/>
          </w:tcPr>
          <w:p w14:paraId="6A6406E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存储设备保护</w:t>
            </w:r>
          </w:p>
        </w:tc>
        <w:tc>
          <w:tcPr>
            <w:tcW w:w="6780" w:type="dxa"/>
            <w:vAlign w:val="center"/>
          </w:tcPr>
          <w:p w14:paraId="1A69B25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拆卸前记录所有磁盘槽位与状态；采用专用减震箱包装，标注"小心轻放、怕震"；搬运过程中倾斜不超过30度，严禁跌落与碰撞；上电后检查磁盘状态与RAID一致性</w:t>
            </w:r>
          </w:p>
        </w:tc>
      </w:tr>
      <w:tr w14:paraId="55DCC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661B69D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6</w:t>
            </w:r>
          </w:p>
        </w:tc>
        <w:tc>
          <w:tcPr>
            <w:tcW w:w="1388" w:type="dxa"/>
            <w:vAlign w:val="center"/>
          </w:tcPr>
          <w:p w14:paraId="44B7AA7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线缆标识与网口准备</w:t>
            </w:r>
          </w:p>
        </w:tc>
        <w:tc>
          <w:tcPr>
            <w:tcW w:w="6780" w:type="dxa"/>
            <w:vAlign w:val="center"/>
          </w:tcPr>
          <w:p w14:paraId="5513061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拆卸前对所有线缆逐一拍照记录、标签标识；搬迁施工前在旧机房逐台完成服务器网口接入准备，包括记录网口与交换机端口映射、预布跳线、贴标拍照与连通性预检</w:t>
            </w:r>
          </w:p>
        </w:tc>
      </w:tr>
      <w:tr w14:paraId="7933A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1239F22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7</w:t>
            </w:r>
          </w:p>
        </w:tc>
        <w:tc>
          <w:tcPr>
            <w:tcW w:w="1388" w:type="dxa"/>
            <w:vAlign w:val="center"/>
          </w:tcPr>
          <w:p w14:paraId="540B1F6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网络线路准备</w:t>
            </w:r>
          </w:p>
        </w:tc>
        <w:tc>
          <w:tcPr>
            <w:tcW w:w="6780" w:type="dxa"/>
            <w:vAlign w:val="center"/>
          </w:tcPr>
          <w:p w14:paraId="49C0817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搬迁前完成容灾机房至主机房内网连接的光纤线路敷设与物理打通，确保搬迁前网络连通性，光纤及敷设辅材由供应商提供</w:t>
            </w:r>
          </w:p>
        </w:tc>
      </w:tr>
      <w:tr w14:paraId="573B0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4D31D67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8</w:t>
            </w:r>
          </w:p>
        </w:tc>
        <w:tc>
          <w:tcPr>
            <w:tcW w:w="1388" w:type="dxa"/>
            <w:vAlign w:val="center"/>
          </w:tcPr>
          <w:p w14:paraId="0BFC6BC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上架与调试</w:t>
            </w:r>
          </w:p>
        </w:tc>
        <w:tc>
          <w:tcPr>
            <w:tcW w:w="6780" w:type="dxa"/>
            <w:vAlign w:val="center"/>
          </w:tcPr>
          <w:p w14:paraId="6DBF195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按设备上架、线缆连接、开机调试、业务验证、签字确认的顺序逐台实施，并按网络与安全先行、核心系统优先、非核心系统在后的顺序分批推进；机柜空柜通过设备拆卸后逐步腾挪产生，网络与安全设备最先就位并验证链路</w:t>
            </w:r>
          </w:p>
        </w:tc>
      </w:tr>
      <w:tr w14:paraId="417E0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0F8094B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9</w:t>
            </w:r>
          </w:p>
        </w:tc>
        <w:tc>
          <w:tcPr>
            <w:tcW w:w="1388" w:type="dxa"/>
            <w:vAlign w:val="center"/>
          </w:tcPr>
          <w:p w14:paraId="52D67F2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弹性切换机制</w:t>
            </w:r>
          </w:p>
        </w:tc>
        <w:tc>
          <w:tcPr>
            <w:tcW w:w="6780" w:type="dxa"/>
            <w:vAlign w:val="center"/>
          </w:tcPr>
          <w:p w14:paraId="09D813D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第2批设备须在</w:t>
            </w:r>
            <w:r>
              <w:rPr>
                <w:rFonts w:hint="eastAsia" w:ascii="宋体" w:hAnsi="宋体" w:cs="宋体"/>
                <w:b w:val="0"/>
                <w:color w:val="auto"/>
                <w:sz w:val="21"/>
                <w:lang w:val="en-US" w:eastAsia="zh-CN"/>
              </w:rPr>
              <w:t>指定时间</w:t>
            </w:r>
            <w:r>
              <w:rPr>
                <w:rFonts w:hint="eastAsia" w:ascii="宋体" w:hAnsi="宋体" w:eastAsia="宋体" w:cs="宋体"/>
                <w:b w:val="0"/>
                <w:color w:val="auto"/>
                <w:sz w:val="21"/>
              </w:rPr>
              <w:t>前完成上架调试；如经评估无法在截止时间前完成，供应商须调整搬迁批次，改由非核心设备先行搬迁，优先保障核心业务恢复</w:t>
            </w:r>
          </w:p>
        </w:tc>
      </w:tr>
      <w:tr w14:paraId="6B14D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1BBDEB5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10</w:t>
            </w:r>
          </w:p>
        </w:tc>
        <w:tc>
          <w:tcPr>
            <w:tcW w:w="1388" w:type="dxa"/>
            <w:vAlign w:val="center"/>
          </w:tcPr>
          <w:p w14:paraId="5FF949E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旧机房收尾与实施限制</w:t>
            </w:r>
          </w:p>
        </w:tc>
        <w:tc>
          <w:tcPr>
            <w:tcW w:w="6780" w:type="dxa"/>
            <w:vAlign w:val="center"/>
          </w:tcPr>
          <w:p w14:paraId="79952E0E">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完成旧机房设备清点确认无遗漏、旧机房线路拆除与现场清理、搬迁文档归档；项目实施不影响现有业务正常运行，所有作业避开临床诊疗高峰时段，搬迁安排在采购人指定的业务空窗期夜间进行</w:t>
            </w:r>
          </w:p>
        </w:tc>
      </w:tr>
    </w:tbl>
    <w:p w14:paraId="0A269864">
      <w:pPr>
        <w:ind w:firstLine="420"/>
        <w:rPr>
          <w:rFonts w:hint="eastAsia" w:ascii="宋体" w:hAnsi="宋体" w:eastAsia="宋体" w:cs="宋体"/>
          <w:color w:val="auto"/>
        </w:rPr>
      </w:pPr>
      <w:r>
        <w:rPr>
          <w:rFonts w:hint="eastAsia" w:ascii="宋体" w:hAnsi="宋体" w:eastAsia="宋体" w:cs="宋体"/>
          <w:color w:val="auto"/>
        </w:rPr>
        <w:t>3.2.2 网络规划与配置迁移服务</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45"/>
        <w:gridCol w:w="1304"/>
        <w:gridCol w:w="6876"/>
      </w:tblGrid>
      <w:tr w14:paraId="062BF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845" w:type="dxa"/>
            <w:vAlign w:val="center"/>
          </w:tcPr>
          <w:p w14:paraId="3BBBF14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序号</w:t>
            </w:r>
          </w:p>
        </w:tc>
        <w:tc>
          <w:tcPr>
            <w:tcW w:w="1304" w:type="dxa"/>
            <w:vAlign w:val="center"/>
          </w:tcPr>
          <w:p w14:paraId="3424BC1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技术参数项</w:t>
            </w:r>
          </w:p>
        </w:tc>
        <w:tc>
          <w:tcPr>
            <w:tcW w:w="6876" w:type="dxa"/>
            <w:vAlign w:val="center"/>
          </w:tcPr>
          <w:p w14:paraId="004F884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技术指标要求</w:t>
            </w:r>
          </w:p>
        </w:tc>
      </w:tr>
      <w:tr w14:paraId="4A3A9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609BE0E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1</w:t>
            </w:r>
          </w:p>
        </w:tc>
        <w:tc>
          <w:tcPr>
            <w:tcW w:w="1304" w:type="dxa"/>
            <w:vAlign w:val="center"/>
          </w:tcPr>
          <w:p w14:paraId="5710631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★服务来源</w:t>
            </w:r>
          </w:p>
        </w:tc>
        <w:tc>
          <w:tcPr>
            <w:tcW w:w="6876" w:type="dxa"/>
            <w:vAlign w:val="center"/>
          </w:tcPr>
          <w:p w14:paraId="2AB704A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w:t>
            </w:r>
            <w:r>
              <w:rPr>
                <w:rFonts w:hint="eastAsia" w:ascii="宋体" w:hAnsi="宋体" w:cs="宋体"/>
                <w:b w:val="0"/>
                <w:color w:val="auto"/>
                <w:sz w:val="21"/>
                <w:lang w:val="en-US" w:eastAsia="zh-CN"/>
              </w:rPr>
              <w:t>为保证我旧机房搬迁的项目风险以及稳定性，</w:t>
            </w:r>
            <w:r>
              <w:rPr>
                <w:rFonts w:hint="eastAsia" w:ascii="宋体" w:hAnsi="宋体" w:eastAsia="宋体" w:cs="宋体"/>
                <w:b w:val="0"/>
                <w:color w:val="auto"/>
                <w:sz w:val="21"/>
              </w:rPr>
              <w:t>本项目</w:t>
            </w:r>
            <w:r>
              <w:rPr>
                <w:rFonts w:hint="eastAsia" w:ascii="宋体" w:hAnsi="宋体" w:cs="宋体"/>
                <w:b w:val="0"/>
                <w:color w:val="auto"/>
                <w:sz w:val="21"/>
                <w:lang w:val="en-US" w:eastAsia="zh-CN"/>
              </w:rPr>
              <w:t>核心</w:t>
            </w:r>
            <w:r>
              <w:rPr>
                <w:rFonts w:hint="eastAsia" w:ascii="宋体" w:hAnsi="宋体" w:eastAsia="宋体" w:cs="宋体"/>
                <w:b w:val="0"/>
                <w:color w:val="auto"/>
                <w:sz w:val="21"/>
              </w:rPr>
              <w:t>网络规划与配置迁移服务须由</w:t>
            </w:r>
            <w:r>
              <w:rPr>
                <w:rFonts w:hint="eastAsia" w:ascii="宋体" w:hAnsi="宋体" w:cs="宋体"/>
                <w:b w:val="0"/>
                <w:color w:val="auto"/>
                <w:sz w:val="21"/>
                <w:lang w:val="en-US" w:eastAsia="zh-CN"/>
              </w:rPr>
              <w:t>原设备厂商</w:t>
            </w:r>
            <w:r>
              <w:rPr>
                <w:rFonts w:hint="eastAsia" w:ascii="宋体" w:hAnsi="宋体" w:eastAsia="宋体" w:cs="宋体"/>
                <w:b w:val="0"/>
                <w:color w:val="auto"/>
                <w:sz w:val="21"/>
              </w:rPr>
              <w:t>新华三原厂提供，或由新华三授权的服务商提供；以授权服务商方式响应的，须提供针对本项目出具的新华三原厂授权服务函或原厂服务承诺函。供应商不得将本项服务转包、分包或委托任何第三方实施</w:t>
            </w:r>
          </w:p>
        </w:tc>
      </w:tr>
      <w:tr w14:paraId="56D3B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45093AD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2</w:t>
            </w:r>
          </w:p>
        </w:tc>
        <w:tc>
          <w:tcPr>
            <w:tcW w:w="1304" w:type="dxa"/>
            <w:vAlign w:val="center"/>
          </w:tcPr>
          <w:p w14:paraId="0E22871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★服务内容</w:t>
            </w:r>
          </w:p>
        </w:tc>
        <w:tc>
          <w:tcPr>
            <w:tcW w:w="6876" w:type="dxa"/>
            <w:vAlign w:val="center"/>
          </w:tcPr>
          <w:p w14:paraId="5DA67B4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服务内容须包含网络规划与配置迁移，覆盖以下范围：①新旧院区核心网络规划，含VLAN规划、IP地址规划、路由规划及网络拓扑图编制，规划成果在实施前报采购人审核确认；②旧院区核心设备承载的业务核心VLAN及对应服务器网关IP地址、子网掩码完整迁移至新院区核心设备；③新院区核心设备新建对应VLAN并放行全局通行策略、配置核心转发规则，确认接口状态正常、网关协议生效；④删除新旧院区双向互通的静态路由条目，清空路由表中指向旧院区的转发条目；⑤删除旧院区核心设备对应VLAN的全局配置及接口网关配置，旧院区设备查询不到相应VLAN与网关配置</w:t>
            </w:r>
          </w:p>
        </w:tc>
      </w:tr>
      <w:tr w14:paraId="56892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127C46F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3</w:t>
            </w:r>
          </w:p>
        </w:tc>
        <w:tc>
          <w:tcPr>
            <w:tcW w:w="1304" w:type="dxa"/>
            <w:vAlign w:val="center"/>
          </w:tcPr>
          <w:p w14:paraId="44BA35F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网络区域对应</w:t>
            </w:r>
          </w:p>
        </w:tc>
        <w:tc>
          <w:tcPr>
            <w:tcW w:w="6876" w:type="dxa"/>
            <w:vAlign w:val="center"/>
          </w:tcPr>
          <w:p w14:paraId="36B4F0D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网络规划须覆盖外网区、外网专线区、内网办公区、安全管理区、数据中心区五大区域的VLAN与地址段划分，并与现有网络规划保持一致，避免地址冲突</w:t>
            </w:r>
          </w:p>
        </w:tc>
      </w:tr>
      <w:tr w14:paraId="5B0D0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66C1063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4</w:t>
            </w:r>
          </w:p>
        </w:tc>
        <w:tc>
          <w:tcPr>
            <w:tcW w:w="1304" w:type="dxa"/>
            <w:vAlign w:val="center"/>
          </w:tcPr>
          <w:p w14:paraId="1617C8C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配置备份</w:t>
            </w:r>
          </w:p>
        </w:tc>
        <w:tc>
          <w:tcPr>
            <w:tcW w:w="6876" w:type="dxa"/>
            <w:vAlign w:val="center"/>
          </w:tcPr>
          <w:p w14:paraId="297DD2C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实施前分别登录新旧院区核心交换机导出设备完整配置文件并本地保存备份；核查业务VLAN网段网关与路由表信息，记录原始配置，备份文件作为回退依据</w:t>
            </w:r>
          </w:p>
        </w:tc>
      </w:tr>
      <w:tr w14:paraId="3CBDB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1EC1C64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5</w:t>
            </w:r>
          </w:p>
        </w:tc>
        <w:tc>
          <w:tcPr>
            <w:tcW w:w="1304" w:type="dxa"/>
            <w:vAlign w:val="center"/>
          </w:tcPr>
          <w:p w14:paraId="0AE0B24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预配置与切换窗口</w:t>
            </w:r>
          </w:p>
        </w:tc>
        <w:tc>
          <w:tcPr>
            <w:tcW w:w="6876" w:type="dxa"/>
            <w:vAlign w:val="center"/>
          </w:tcPr>
          <w:p w14:paraId="69249D9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新院区核心交换机的VLAN、路由、DNS等配置在搬迁前完成编制并预配置，搬迁当天按预配置直接启用；网络切换须安排在采购人确认的全院业务空窗期实施，整体操作时间控制在10分钟以内，业务瞬时中断时长控制在3至5分钟</w:t>
            </w:r>
          </w:p>
        </w:tc>
      </w:tr>
      <w:tr w14:paraId="77CAF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554754F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6</w:t>
            </w:r>
          </w:p>
        </w:tc>
        <w:tc>
          <w:tcPr>
            <w:tcW w:w="1304" w:type="dxa"/>
            <w:vAlign w:val="center"/>
          </w:tcPr>
          <w:p w14:paraId="2C93B0E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回退方案</w:t>
            </w:r>
          </w:p>
        </w:tc>
        <w:tc>
          <w:tcPr>
            <w:tcW w:w="6876" w:type="dxa"/>
            <w:vAlign w:val="center"/>
          </w:tcPr>
          <w:p w14:paraId="38F706C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提供完整回退方案，明确回退触发条件与分步操作步骤，回退总时长不超过3分钟；实施方案与回退方案报采购人审核确认后方可实施</w:t>
            </w:r>
          </w:p>
        </w:tc>
      </w:tr>
      <w:tr w14:paraId="63757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414DFA2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7</w:t>
            </w:r>
          </w:p>
        </w:tc>
        <w:tc>
          <w:tcPr>
            <w:tcW w:w="1304" w:type="dxa"/>
            <w:vAlign w:val="center"/>
          </w:tcPr>
          <w:p w14:paraId="6783A0B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操作规范</w:t>
            </w:r>
          </w:p>
        </w:tc>
        <w:tc>
          <w:tcPr>
            <w:tcW w:w="6876" w:type="dxa"/>
            <w:vAlign w:val="center"/>
          </w:tcPr>
          <w:p w14:paraId="3FBA26F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全程双人操作、双人复核，每一项操作完成后即时校验；切换期间安排网络运维与系统运维双岗值守，出现异常立即启动回退</w:t>
            </w:r>
          </w:p>
        </w:tc>
      </w:tr>
      <w:tr w14:paraId="7BE1D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45" w:type="dxa"/>
            <w:vAlign w:val="center"/>
          </w:tcPr>
          <w:p w14:paraId="2D47E22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8</w:t>
            </w:r>
          </w:p>
        </w:tc>
        <w:tc>
          <w:tcPr>
            <w:tcW w:w="1304" w:type="dxa"/>
            <w:vAlign w:val="center"/>
          </w:tcPr>
          <w:p w14:paraId="39BBC48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切换验证与监控</w:t>
            </w:r>
          </w:p>
        </w:tc>
        <w:tc>
          <w:tcPr>
            <w:tcW w:w="6876" w:type="dxa"/>
            <w:vAlign w:val="center"/>
          </w:tcPr>
          <w:p w14:paraId="736EC754">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测试新院区网关连通性，ping服务器网关与核心服务器IP丢包率为0；验证HIS系统、终端业务访问与服务器数据读写正常；核查核心设备流量转发，确认业务流量本地转发、不经过旧院区；切换完成后持续监控不少于1小时，并留存切换后的最终设备配置</w:t>
            </w:r>
          </w:p>
        </w:tc>
      </w:tr>
    </w:tbl>
    <w:p w14:paraId="128FFCAD">
      <w:pPr>
        <w:ind w:firstLine="420"/>
        <w:rPr>
          <w:rFonts w:hint="eastAsia" w:ascii="宋体" w:hAnsi="宋体" w:eastAsia="宋体" w:cs="宋体"/>
          <w:color w:val="auto"/>
        </w:rPr>
      </w:pPr>
      <w:r>
        <w:rPr>
          <w:rFonts w:hint="eastAsia" w:ascii="宋体" w:hAnsi="宋体" w:eastAsia="宋体" w:cs="宋体"/>
          <w:color w:val="auto"/>
        </w:rPr>
        <w:t>3.2.3 机房内部线缆整理与标识</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32"/>
        <w:gridCol w:w="1749"/>
        <w:gridCol w:w="6444"/>
      </w:tblGrid>
      <w:tr w14:paraId="4E3C9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832" w:type="dxa"/>
            <w:vAlign w:val="center"/>
          </w:tcPr>
          <w:p w14:paraId="146CC1F9">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序号</w:t>
            </w:r>
          </w:p>
        </w:tc>
        <w:tc>
          <w:tcPr>
            <w:tcW w:w="1749" w:type="dxa"/>
            <w:vAlign w:val="center"/>
          </w:tcPr>
          <w:p w14:paraId="2B5A2FEC">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技术参数项</w:t>
            </w:r>
          </w:p>
        </w:tc>
        <w:tc>
          <w:tcPr>
            <w:tcW w:w="6444" w:type="dxa"/>
            <w:vAlign w:val="center"/>
          </w:tcPr>
          <w:p w14:paraId="3DED28A2">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技术指标要求</w:t>
            </w:r>
          </w:p>
        </w:tc>
      </w:tr>
      <w:tr w14:paraId="5AC38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32" w:type="dxa"/>
            <w:vAlign w:val="center"/>
          </w:tcPr>
          <w:p w14:paraId="054640D3">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1749" w:type="dxa"/>
            <w:vAlign w:val="center"/>
          </w:tcPr>
          <w:p w14:paraId="73319C9E">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线缆整理与辅材</w:t>
            </w:r>
          </w:p>
        </w:tc>
        <w:tc>
          <w:tcPr>
            <w:tcW w:w="6444" w:type="dxa"/>
            <w:vAlign w:val="center"/>
          </w:tcPr>
          <w:p w14:paraId="51523B8E">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对旧院区机房与新院区容灾机房内部线缆进行梳理整理，减少交叉与冗余，释放机柜空间与作业半径；服务含搬迁与整理所需全部线缆及辅材，包括但不限于跳线、标签、扎带、线管、理线器件等</w:t>
            </w:r>
          </w:p>
        </w:tc>
      </w:tr>
      <w:tr w14:paraId="4624E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32" w:type="dxa"/>
            <w:vAlign w:val="center"/>
          </w:tcPr>
          <w:p w14:paraId="1B437A60">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2</w:t>
            </w:r>
          </w:p>
        </w:tc>
        <w:tc>
          <w:tcPr>
            <w:tcW w:w="1749" w:type="dxa"/>
            <w:vAlign w:val="center"/>
          </w:tcPr>
          <w:p w14:paraId="06BA7E15">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标识与交付资料</w:t>
            </w:r>
          </w:p>
        </w:tc>
        <w:tc>
          <w:tcPr>
            <w:tcW w:w="6444" w:type="dxa"/>
            <w:vAlign w:val="center"/>
          </w:tcPr>
          <w:p w14:paraId="3B83B0DD">
            <w:pPr>
              <w:snapToGrid w:val="0"/>
              <w:spacing w:after="0" w:line="240" w:lineRule="auto"/>
              <w:ind w:firstLine="0" w:firstLineChars="0"/>
              <w:jc w:val="left"/>
              <w:rPr>
                <w:rFonts w:hint="eastAsia" w:ascii="宋体" w:hAnsi="宋体" w:eastAsia="宋体" w:cs="宋体"/>
                <w:color w:val="auto"/>
              </w:rPr>
            </w:pPr>
            <w:r>
              <w:rPr>
                <w:rFonts w:hint="eastAsia" w:ascii="宋体" w:hAnsi="宋体" w:eastAsia="宋体" w:cs="宋体"/>
                <w:b w:val="0"/>
                <w:color w:val="auto"/>
                <w:sz w:val="21"/>
              </w:rPr>
              <w:t>对设备、线缆、端口做标准化标签标识，标注设备名称或用途与连接关系；提交线缆连接关系表、设备台账与标签对照表</w:t>
            </w:r>
          </w:p>
        </w:tc>
      </w:tr>
    </w:tbl>
    <w:p w14:paraId="54B86219">
      <w:pPr>
        <w:ind w:firstLine="420"/>
        <w:rPr>
          <w:rFonts w:hint="eastAsia" w:ascii="宋体" w:hAnsi="宋体" w:eastAsia="宋体" w:cs="宋体"/>
          <w:color w:val="auto"/>
        </w:rPr>
      </w:pPr>
      <w:r>
        <w:rPr>
          <w:rFonts w:hint="eastAsia" w:ascii="宋体" w:hAnsi="宋体" w:eastAsia="宋体" w:cs="宋体"/>
          <w:color w:val="auto"/>
        </w:rPr>
        <w:t>3.2.4 容灾机房网络调试与业务验证</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57"/>
        <w:gridCol w:w="1509"/>
        <w:gridCol w:w="6659"/>
      </w:tblGrid>
      <w:tr w14:paraId="57BF4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857" w:type="dxa"/>
            <w:vAlign w:val="center"/>
          </w:tcPr>
          <w:p w14:paraId="18E9AB88">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序号</w:t>
            </w:r>
          </w:p>
        </w:tc>
        <w:tc>
          <w:tcPr>
            <w:tcW w:w="0" w:type="auto"/>
            <w:vAlign w:val="center"/>
          </w:tcPr>
          <w:p w14:paraId="576634A1">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技术参数项</w:t>
            </w:r>
          </w:p>
        </w:tc>
        <w:tc>
          <w:tcPr>
            <w:tcW w:w="6659" w:type="dxa"/>
            <w:vAlign w:val="center"/>
          </w:tcPr>
          <w:p w14:paraId="06FDF57C">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技术指标要求</w:t>
            </w:r>
          </w:p>
        </w:tc>
      </w:tr>
      <w:tr w14:paraId="1A2F3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5FF5F10A">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0" w:type="auto"/>
            <w:vAlign w:val="center"/>
          </w:tcPr>
          <w:p w14:paraId="792D01E4">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网络连通性与路由</w:t>
            </w:r>
          </w:p>
        </w:tc>
        <w:tc>
          <w:tcPr>
            <w:tcW w:w="6659" w:type="dxa"/>
            <w:vAlign w:val="center"/>
          </w:tcPr>
          <w:p w14:paraId="4EAE924C">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完成容灾机房内网络连通性调试，覆盖内网、外网与医联体专线，所有链路正常；验证跨VLAN路由可达，VLAN间延迟不超过1毫秒</w:t>
            </w:r>
          </w:p>
        </w:tc>
      </w:tr>
      <w:tr w14:paraId="1CFF9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20F1EE2E">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2</w:t>
            </w:r>
          </w:p>
        </w:tc>
        <w:tc>
          <w:tcPr>
            <w:tcW w:w="0" w:type="auto"/>
            <w:vAlign w:val="center"/>
          </w:tcPr>
          <w:p w14:paraId="7C4B0F88">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安全策略验证</w:t>
            </w:r>
          </w:p>
        </w:tc>
        <w:tc>
          <w:tcPr>
            <w:tcW w:w="6659" w:type="dxa"/>
            <w:vAlign w:val="center"/>
          </w:tcPr>
          <w:p w14:paraId="669FD6C8">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验证各区域间访问控制策略与搬迁前一致，出口防火墙、数据中心防火墙、专线防火墙策略完整生效；网闸仅允许授权数据穿越，未授权流量被阻断；安全管理区仅管理VLAN可达</w:t>
            </w:r>
          </w:p>
        </w:tc>
      </w:tr>
      <w:tr w14:paraId="1113E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13A7A631">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3</w:t>
            </w:r>
          </w:p>
        </w:tc>
        <w:tc>
          <w:tcPr>
            <w:tcW w:w="0" w:type="auto"/>
            <w:vAlign w:val="center"/>
          </w:tcPr>
          <w:p w14:paraId="219F5888">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业务功能验证</w:t>
            </w:r>
          </w:p>
        </w:tc>
        <w:tc>
          <w:tcPr>
            <w:tcW w:w="6659" w:type="dxa"/>
            <w:vAlign w:val="center"/>
          </w:tcPr>
          <w:p w14:paraId="79140BC1">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配合各业务系统供应商完成HIS、LIS、PACS、EMR等系统功能验证，业务流程正常、数据一致</w:t>
            </w:r>
          </w:p>
        </w:tc>
      </w:tr>
      <w:tr w14:paraId="174C3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44935009">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4</w:t>
            </w:r>
          </w:p>
        </w:tc>
        <w:tc>
          <w:tcPr>
            <w:tcW w:w="0" w:type="auto"/>
            <w:vAlign w:val="center"/>
          </w:tcPr>
          <w:p w14:paraId="627238D7">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性能与环境验证</w:t>
            </w:r>
          </w:p>
        </w:tc>
        <w:tc>
          <w:tcPr>
            <w:tcW w:w="6659" w:type="dxa"/>
            <w:vAlign w:val="center"/>
          </w:tcPr>
          <w:p w14:paraId="52FB8C8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核心操作响应时间、影像调阅加载时间、数据库查询响应等性能指标与搬迁前持平或更优；机房温度18至28摄氏度、湿度35%至75%，制冷与供电基础设施及UPS运行正常</w:t>
            </w:r>
          </w:p>
        </w:tc>
      </w:tr>
      <w:tr w14:paraId="6EF38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63137F5E">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5</w:t>
            </w:r>
          </w:p>
        </w:tc>
        <w:tc>
          <w:tcPr>
            <w:tcW w:w="0" w:type="auto"/>
            <w:vAlign w:val="center"/>
          </w:tcPr>
          <w:p w14:paraId="7E0A1B00">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持续监控</w:t>
            </w:r>
          </w:p>
        </w:tc>
        <w:tc>
          <w:tcPr>
            <w:tcW w:w="6659" w:type="dxa"/>
            <w:vAlign w:val="center"/>
          </w:tcPr>
          <w:p w14:paraId="64BAD7BE">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搬迁完成后72小时内安排专人持续监控系统可用性、性能指标与业务量，搬迁后0至8小时每15分钟一次、8至24小时每30分钟一次、24至72小时每小时一次</w:t>
            </w:r>
          </w:p>
        </w:tc>
      </w:tr>
      <w:tr w14:paraId="1BFA9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0EA4A81D">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6</w:t>
            </w:r>
          </w:p>
        </w:tc>
        <w:tc>
          <w:tcPr>
            <w:tcW w:w="1509" w:type="dxa"/>
            <w:vAlign w:val="center"/>
          </w:tcPr>
          <w:p w14:paraId="5DD2089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异常处置与验证记录</w:t>
            </w:r>
          </w:p>
        </w:tc>
        <w:tc>
          <w:tcPr>
            <w:tcW w:w="6659" w:type="dxa"/>
            <w:vAlign w:val="center"/>
          </w:tcPr>
          <w:p w14:paraId="5DA19C6B">
            <w:pPr>
              <w:snapToGrid w:val="0"/>
              <w:spacing w:after="0" w:line="240" w:lineRule="auto"/>
              <w:ind w:firstLine="0" w:firstLineChars="0"/>
              <w:jc w:val="left"/>
              <w:rPr>
                <w:rFonts w:hint="eastAsia" w:ascii="宋体" w:hAnsi="宋体" w:eastAsia="宋体" w:cs="宋体"/>
                <w:color w:val="auto"/>
              </w:rPr>
            </w:pPr>
            <w:r>
              <w:rPr>
                <w:rFonts w:hint="eastAsia" w:ascii="宋体" w:hAnsi="宋体" w:eastAsia="宋体" w:cs="宋体"/>
                <w:b w:val="0"/>
                <w:color w:val="auto"/>
                <w:sz w:val="21"/>
              </w:rPr>
              <w:t>不影响业务的轻微异常记录并持续观察，影响部分业务的一般异常30分钟内响应，影响核心业务的严重异常立即启动应急响应；逐项填写系统验证检查表与网络切换验证清单，形成验证报告提交采购人确认</w:t>
            </w:r>
          </w:p>
        </w:tc>
      </w:tr>
    </w:tbl>
    <w:p w14:paraId="67549BFF">
      <w:pPr>
        <w:ind w:firstLine="420"/>
        <w:rPr>
          <w:rFonts w:hint="eastAsia" w:ascii="宋体" w:hAnsi="宋体" w:eastAsia="宋体" w:cs="宋体"/>
          <w:color w:val="auto"/>
        </w:rPr>
      </w:pPr>
      <w:r>
        <w:rPr>
          <w:rFonts w:hint="eastAsia" w:ascii="宋体" w:hAnsi="宋体" w:eastAsia="宋体" w:cs="宋体"/>
          <w:color w:val="auto"/>
        </w:rPr>
        <w:t>3.2.5 实施组织与进度要求</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57"/>
        <w:gridCol w:w="1490"/>
        <w:gridCol w:w="6678"/>
      </w:tblGrid>
      <w:tr w14:paraId="2E52A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048318C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序号</w:t>
            </w:r>
          </w:p>
        </w:tc>
        <w:tc>
          <w:tcPr>
            <w:tcW w:w="1490" w:type="dxa"/>
            <w:vAlign w:val="center"/>
          </w:tcPr>
          <w:p w14:paraId="345B81A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技术参数项</w:t>
            </w:r>
          </w:p>
        </w:tc>
        <w:tc>
          <w:tcPr>
            <w:tcW w:w="6677" w:type="dxa"/>
            <w:vAlign w:val="center"/>
          </w:tcPr>
          <w:p w14:paraId="358AF12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技术指标要求</w:t>
            </w:r>
          </w:p>
        </w:tc>
      </w:tr>
      <w:tr w14:paraId="1D94F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333FB50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1</w:t>
            </w:r>
          </w:p>
        </w:tc>
        <w:tc>
          <w:tcPr>
            <w:tcW w:w="1490" w:type="dxa"/>
            <w:vAlign w:val="center"/>
          </w:tcPr>
          <w:p w14:paraId="2E0FDFB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实施组织</w:t>
            </w:r>
          </w:p>
        </w:tc>
        <w:tc>
          <w:tcPr>
            <w:tcW w:w="6677" w:type="dxa"/>
            <w:vAlign w:val="center"/>
          </w:tcPr>
          <w:p w14:paraId="3205A4E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成立搬迁实施组织并明确组长与职责，至少设置搬迁指挥组、技术组、网络组、物流组四个工作组；各业务系统供应商由采购人另行协调，供应商负责备份要求下发、时间窗口协调与备份完成确认书收集</w:t>
            </w:r>
          </w:p>
        </w:tc>
      </w:tr>
      <w:tr w14:paraId="765E6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779C242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2</w:t>
            </w:r>
          </w:p>
        </w:tc>
        <w:tc>
          <w:tcPr>
            <w:tcW w:w="1490" w:type="dxa"/>
            <w:vAlign w:val="center"/>
          </w:tcPr>
          <w:p w14:paraId="3C235D5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人员配置</w:t>
            </w:r>
          </w:p>
        </w:tc>
        <w:tc>
          <w:tcPr>
            <w:tcW w:w="6677" w:type="dxa"/>
            <w:vAlign w:val="center"/>
          </w:tcPr>
          <w:p w14:paraId="33C0613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配置专职项目经理1名，负责总体决策、进度管控、资源协调与采购人接口；配置具备网络规划与核心交换机配置迁移实施能力的网络工程师；搬运人员数量按设备重量评估确定</w:t>
            </w:r>
          </w:p>
        </w:tc>
      </w:tr>
      <w:tr w14:paraId="6A135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1E52D22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3</w:t>
            </w:r>
          </w:p>
        </w:tc>
        <w:tc>
          <w:tcPr>
            <w:tcW w:w="1490" w:type="dxa"/>
            <w:vAlign w:val="center"/>
          </w:tcPr>
          <w:p w14:paraId="6A551E5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进度计划与实施方案</w:t>
            </w:r>
          </w:p>
        </w:tc>
        <w:tc>
          <w:tcPr>
            <w:tcW w:w="6677" w:type="dxa"/>
            <w:vAlign w:val="center"/>
          </w:tcPr>
          <w:p w14:paraId="5E792F2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提交实施进度计划，按准备期、建设期、备查期、搬迁日、监控期、收尾期划分并明确责任方；提交搬迁实施方案、网络规划与配置迁移方案、应急回退方案，报采购人审核确认后方可实施</w:t>
            </w:r>
          </w:p>
        </w:tc>
      </w:tr>
      <w:tr w14:paraId="530B2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02E5348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4</w:t>
            </w:r>
          </w:p>
        </w:tc>
        <w:tc>
          <w:tcPr>
            <w:tcW w:w="1490" w:type="dxa"/>
            <w:vAlign w:val="center"/>
          </w:tcPr>
          <w:p w14:paraId="2E1C295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交底与沟通机制</w:t>
            </w:r>
          </w:p>
        </w:tc>
        <w:tc>
          <w:tcPr>
            <w:tcW w:w="6677" w:type="dxa"/>
            <w:vAlign w:val="center"/>
          </w:tcPr>
          <w:p w14:paraId="096A6E0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搬迁前组织应急演练与搬迁交底会，明确分工、时间节点、风险预案与联络人；准备期每周召开进度例会，搬迁日设现场指挥点并每30分钟通报进度，指定唯一联络人</w:t>
            </w:r>
          </w:p>
        </w:tc>
      </w:tr>
      <w:tr w14:paraId="48A41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6D2B4EA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5</w:t>
            </w:r>
          </w:p>
        </w:tc>
        <w:tc>
          <w:tcPr>
            <w:tcW w:w="1490" w:type="dxa"/>
            <w:vAlign w:val="center"/>
          </w:tcPr>
          <w:p w14:paraId="31750D8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应急预案</w:t>
            </w:r>
          </w:p>
        </w:tc>
        <w:tc>
          <w:tcPr>
            <w:tcW w:w="6677" w:type="dxa"/>
            <w:vAlign w:val="center"/>
          </w:tcPr>
          <w:p w14:paraId="729491A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提供数据恢复、网络、设备、停电与超时五类应急处置措施；数据不一致或丢失时立即停止相关系统操作并启用备份数据恢复；网络割接后核心链路不通时恢复至搬迁前配置，排查原因后重新割接</w:t>
            </w:r>
          </w:p>
        </w:tc>
      </w:tr>
      <w:tr w14:paraId="2F5B0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57" w:type="dxa"/>
            <w:vAlign w:val="center"/>
          </w:tcPr>
          <w:p w14:paraId="59237D6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6</w:t>
            </w:r>
          </w:p>
        </w:tc>
        <w:tc>
          <w:tcPr>
            <w:tcW w:w="1490" w:type="dxa"/>
            <w:vAlign w:val="center"/>
          </w:tcPr>
          <w:p w14:paraId="418DADB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质保与服务保障</w:t>
            </w:r>
          </w:p>
        </w:tc>
        <w:tc>
          <w:tcPr>
            <w:tcW w:w="6677" w:type="dxa"/>
            <w:vAlign w:val="center"/>
          </w:tcPr>
          <w:p w14:paraId="734EC150">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本项目技术服务质保期不少于1年，自项目验收合格之日起计；质保期内提供7×24小时故障受理渠道，接到故障通知后2小时内响应并提供远程支持，需现场处置的于24小时内到达现场</w:t>
            </w:r>
          </w:p>
        </w:tc>
      </w:tr>
    </w:tbl>
    <w:p w14:paraId="151AC49F">
      <w:pPr>
        <w:pStyle w:val="3"/>
        <w:ind w:firstLine="300"/>
        <w:rPr>
          <w:rFonts w:hint="eastAsia" w:ascii="宋体" w:hAnsi="宋体" w:eastAsia="宋体" w:cs="宋体"/>
          <w:color w:val="auto"/>
        </w:rPr>
      </w:pPr>
      <w:r>
        <w:rPr>
          <w:rFonts w:hint="eastAsia" w:ascii="宋体" w:hAnsi="宋体" w:eastAsia="宋体" w:cs="宋体"/>
          <w:color w:val="auto"/>
        </w:rPr>
        <w:t>第四章 评分要求</w:t>
      </w:r>
    </w:p>
    <w:p w14:paraId="2E6D00DC">
      <w:pPr>
        <w:pStyle w:val="4"/>
        <w:ind w:firstLine="600"/>
        <w:rPr>
          <w:rFonts w:hint="eastAsia" w:ascii="宋体" w:hAnsi="宋体" w:eastAsia="宋体" w:cs="宋体"/>
          <w:color w:val="auto"/>
        </w:rPr>
      </w:pPr>
      <w:r>
        <w:rPr>
          <w:rFonts w:hint="eastAsia" w:ascii="宋体" w:hAnsi="宋体" w:eastAsia="宋体" w:cs="宋体"/>
          <w:color w:val="auto"/>
        </w:rPr>
        <w:t>4.1 评标办法</w:t>
      </w:r>
    </w:p>
    <w:p w14:paraId="7C7E2943">
      <w:pPr>
        <w:ind w:firstLine="420"/>
        <w:rPr>
          <w:rFonts w:hint="eastAsia" w:ascii="宋体" w:hAnsi="宋体" w:eastAsia="宋体" w:cs="宋体"/>
          <w:color w:val="auto"/>
        </w:rPr>
      </w:pPr>
      <w:r>
        <w:rPr>
          <w:rFonts w:hint="eastAsia" w:ascii="宋体" w:hAnsi="宋体" w:eastAsia="宋体" w:cs="宋体"/>
          <w:color w:val="auto"/>
        </w:rPr>
        <w:t>本项目采用综合评分法，总分100分，其中商务技术评分70分、价格评分30分。评标委员会对满足采购需求实质性要求的响应文件，按本章评分标准打分，并按综合得分由高到低顺序推荐成交候选供应商。响应文件未实质性响应★条款的，按无效响应处理，不进入评分。</w:t>
      </w:r>
    </w:p>
    <w:p w14:paraId="6ACD1B4E">
      <w:pPr>
        <w:pStyle w:val="4"/>
        <w:ind w:firstLine="600"/>
        <w:rPr>
          <w:rFonts w:hint="eastAsia" w:ascii="宋体" w:hAnsi="宋体" w:eastAsia="宋体" w:cs="宋体"/>
          <w:color w:val="auto"/>
        </w:rPr>
      </w:pPr>
      <w:r>
        <w:rPr>
          <w:rFonts w:hint="eastAsia" w:ascii="宋体" w:hAnsi="宋体" w:eastAsia="宋体" w:cs="宋体"/>
          <w:color w:val="auto"/>
        </w:rPr>
        <w:t>4.2 符号说明</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84"/>
        <w:gridCol w:w="1461"/>
        <w:gridCol w:w="6480"/>
      </w:tblGrid>
      <w:tr w14:paraId="2EDCB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1084" w:type="dxa"/>
            <w:vAlign w:val="center"/>
          </w:tcPr>
          <w:p w14:paraId="3A1D9D3C">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符号</w:t>
            </w:r>
          </w:p>
        </w:tc>
        <w:tc>
          <w:tcPr>
            <w:tcW w:w="1461" w:type="dxa"/>
            <w:vAlign w:val="center"/>
          </w:tcPr>
          <w:p w14:paraId="1D25ECDA">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含义</w:t>
            </w:r>
          </w:p>
        </w:tc>
        <w:tc>
          <w:tcPr>
            <w:tcW w:w="6480" w:type="dxa"/>
            <w:vAlign w:val="center"/>
          </w:tcPr>
          <w:p w14:paraId="52FC29CE">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评审方式</w:t>
            </w:r>
          </w:p>
        </w:tc>
      </w:tr>
      <w:tr w14:paraId="41EFC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084" w:type="dxa"/>
            <w:vAlign w:val="center"/>
          </w:tcPr>
          <w:p w14:paraId="635A07D5">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w:t>
            </w:r>
          </w:p>
        </w:tc>
        <w:tc>
          <w:tcPr>
            <w:tcW w:w="1461" w:type="dxa"/>
            <w:vAlign w:val="center"/>
          </w:tcPr>
          <w:p w14:paraId="0FEB69EC">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实质性响应条款</w:t>
            </w:r>
          </w:p>
        </w:tc>
        <w:tc>
          <w:tcPr>
            <w:tcW w:w="6480" w:type="dxa"/>
            <w:vAlign w:val="center"/>
          </w:tcPr>
          <w:p w14:paraId="554B39A8">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供应商必须完全满足，出现任何负偏离即按无效响应处理</w:t>
            </w:r>
          </w:p>
        </w:tc>
      </w:tr>
      <w:tr w14:paraId="20E0D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084" w:type="dxa"/>
            <w:vAlign w:val="center"/>
          </w:tcPr>
          <w:p w14:paraId="25D9023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无标记</w:t>
            </w:r>
          </w:p>
        </w:tc>
        <w:tc>
          <w:tcPr>
            <w:tcW w:w="1461" w:type="dxa"/>
            <w:vAlign w:val="center"/>
          </w:tcPr>
          <w:p w14:paraId="1137E3FC">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一般性技术要求</w:t>
            </w:r>
          </w:p>
        </w:tc>
        <w:tc>
          <w:tcPr>
            <w:tcW w:w="6480" w:type="dxa"/>
            <w:vAlign w:val="center"/>
          </w:tcPr>
          <w:p w14:paraId="2831FDC2">
            <w:pPr>
              <w:snapToGrid w:val="0"/>
              <w:spacing w:after="0" w:line="240" w:lineRule="auto"/>
              <w:ind w:firstLine="0" w:firstLineChars="0"/>
              <w:jc w:val="center"/>
              <w:rPr>
                <w:rFonts w:hint="eastAsia" w:ascii="宋体" w:hAnsi="宋体" w:eastAsia="宋体" w:cs="宋体"/>
                <w:color w:val="auto"/>
              </w:rPr>
            </w:pPr>
            <w:r>
              <w:rPr>
                <w:rFonts w:hint="eastAsia" w:ascii="宋体" w:hAnsi="宋体" w:eastAsia="宋体" w:cs="宋体"/>
                <w:b w:val="0"/>
                <w:color w:val="auto"/>
                <w:sz w:val="21"/>
              </w:rPr>
              <w:t>供应商须逐条响应，出现负偏离按本章商务技术评分表相应规则扣分</w:t>
            </w:r>
          </w:p>
        </w:tc>
      </w:tr>
    </w:tbl>
    <w:p w14:paraId="18D060A4">
      <w:pPr>
        <w:pStyle w:val="4"/>
        <w:ind w:firstLine="600"/>
        <w:rPr>
          <w:rFonts w:hint="eastAsia" w:ascii="宋体" w:hAnsi="宋体" w:eastAsia="宋体" w:cs="宋体"/>
          <w:color w:val="auto"/>
        </w:rPr>
      </w:pPr>
      <w:r>
        <w:rPr>
          <w:rFonts w:hint="eastAsia" w:ascii="宋体" w:hAnsi="宋体" w:eastAsia="宋体" w:cs="宋体"/>
          <w:color w:val="auto"/>
        </w:rPr>
        <w:t>4.3 商务技术评分表（</w:t>
      </w:r>
      <w:r>
        <w:rPr>
          <w:rFonts w:hint="eastAsia" w:ascii="宋体" w:hAnsi="宋体" w:cs="宋体"/>
          <w:color w:val="auto"/>
          <w:lang w:val="en-US" w:eastAsia="zh-CN"/>
        </w:rPr>
        <w:t>6</w:t>
      </w:r>
      <w:r>
        <w:rPr>
          <w:rFonts w:hint="eastAsia" w:ascii="宋体" w:hAnsi="宋体" w:eastAsia="宋体" w:cs="宋体"/>
          <w:color w:val="auto"/>
        </w:rPr>
        <w:t>0分）</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7"/>
        <w:gridCol w:w="1394"/>
        <w:gridCol w:w="852"/>
        <w:gridCol w:w="5952"/>
      </w:tblGrid>
      <w:tr w14:paraId="3DAF6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0A50FD7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序号</w:t>
            </w:r>
          </w:p>
        </w:tc>
        <w:tc>
          <w:tcPr>
            <w:tcW w:w="1394" w:type="dxa"/>
            <w:vAlign w:val="center"/>
          </w:tcPr>
          <w:p w14:paraId="6018202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评分项</w:t>
            </w:r>
          </w:p>
        </w:tc>
        <w:tc>
          <w:tcPr>
            <w:tcW w:w="852" w:type="dxa"/>
            <w:vAlign w:val="center"/>
          </w:tcPr>
          <w:p w14:paraId="18961B3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分值</w:t>
            </w:r>
          </w:p>
        </w:tc>
        <w:tc>
          <w:tcPr>
            <w:tcW w:w="5952" w:type="dxa"/>
            <w:vAlign w:val="center"/>
          </w:tcPr>
          <w:p w14:paraId="519E36F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评分标准</w:t>
            </w:r>
          </w:p>
        </w:tc>
      </w:tr>
      <w:tr w14:paraId="1BBE8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0D22046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1</w:t>
            </w:r>
          </w:p>
        </w:tc>
        <w:tc>
          <w:tcPr>
            <w:tcW w:w="1394" w:type="dxa"/>
            <w:vAlign w:val="center"/>
          </w:tcPr>
          <w:p w14:paraId="6D0E81C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技术参数响应</w:t>
            </w:r>
          </w:p>
        </w:tc>
        <w:tc>
          <w:tcPr>
            <w:tcW w:w="852" w:type="dxa"/>
            <w:vAlign w:val="center"/>
          </w:tcPr>
          <w:p w14:paraId="6096BF1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eastAsia="宋体" w:cs="宋体"/>
                <w:b w:val="0"/>
                <w:color w:val="auto"/>
                <w:sz w:val="21"/>
              </w:rPr>
              <w:t>1</w:t>
            </w:r>
            <w:r>
              <w:rPr>
                <w:rFonts w:hint="eastAsia" w:ascii="宋体" w:hAnsi="宋体" w:cs="宋体"/>
                <w:b w:val="0"/>
                <w:color w:val="auto"/>
                <w:sz w:val="21"/>
                <w:lang w:val="en-US" w:eastAsia="zh-CN"/>
              </w:rPr>
              <w:t>0</w:t>
            </w:r>
          </w:p>
        </w:tc>
        <w:tc>
          <w:tcPr>
            <w:tcW w:w="5952" w:type="dxa"/>
            <w:vAlign w:val="center"/>
          </w:tcPr>
          <w:p w14:paraId="122E780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对第三章技术参数要求中的一般性条款逐条评审，每出现1条负偏离扣1分，扣完为止；全部满足得满分。供应商须提交技术参数偏离表，逐条注明无偏离／正偏离／负偏离</w:t>
            </w:r>
          </w:p>
        </w:tc>
      </w:tr>
      <w:tr w14:paraId="6ED76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777D901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2</w:t>
            </w:r>
          </w:p>
        </w:tc>
        <w:tc>
          <w:tcPr>
            <w:tcW w:w="1394" w:type="dxa"/>
            <w:vAlign w:val="center"/>
          </w:tcPr>
          <w:p w14:paraId="270E56F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搬迁实施方案</w:t>
            </w:r>
          </w:p>
        </w:tc>
        <w:tc>
          <w:tcPr>
            <w:tcW w:w="852" w:type="dxa"/>
            <w:vAlign w:val="center"/>
          </w:tcPr>
          <w:p w14:paraId="6C2C196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cs="宋体"/>
                <w:b w:val="0"/>
                <w:color w:val="auto"/>
                <w:sz w:val="21"/>
                <w:lang w:val="en-US" w:eastAsia="zh-CN"/>
              </w:rPr>
              <w:t>9</w:t>
            </w:r>
          </w:p>
        </w:tc>
        <w:tc>
          <w:tcPr>
            <w:tcW w:w="5952" w:type="dxa"/>
            <w:vAlign w:val="center"/>
          </w:tcPr>
          <w:p w14:paraId="72D84B8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按四项分别计分：①施工组织与人员配置完整得2分；②搬迁流程与批次安排明确、含机柜腾挪时序得</w:t>
            </w:r>
            <w:r>
              <w:rPr>
                <w:rFonts w:hint="eastAsia" w:ascii="宋体" w:hAnsi="宋体" w:cs="宋体"/>
                <w:b w:val="0"/>
                <w:color w:val="auto"/>
                <w:sz w:val="21"/>
                <w:lang w:val="en-US" w:eastAsia="zh-CN"/>
              </w:rPr>
              <w:t>2</w:t>
            </w:r>
            <w:r>
              <w:rPr>
                <w:rFonts w:hint="eastAsia" w:ascii="宋体" w:hAnsi="宋体" w:eastAsia="宋体" w:cs="宋体"/>
                <w:b w:val="0"/>
                <w:color w:val="auto"/>
                <w:sz w:val="21"/>
              </w:rPr>
              <w:t>分；③设备与存储保护措施（整机防震运输不拆盘、防震包装、倾斜角度限制）完整得3分；④进度计划含各阶段起止时间与弹性切换机制得2分。每项内容笼统或未结合本项目现场条件的减半计分，缺失得0分</w:t>
            </w:r>
          </w:p>
        </w:tc>
      </w:tr>
      <w:tr w14:paraId="3029B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57E0043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3</w:t>
            </w:r>
          </w:p>
        </w:tc>
        <w:tc>
          <w:tcPr>
            <w:tcW w:w="1394" w:type="dxa"/>
            <w:vAlign w:val="center"/>
          </w:tcPr>
          <w:p w14:paraId="480F88C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网络规划与配置迁移方案</w:t>
            </w:r>
          </w:p>
        </w:tc>
        <w:tc>
          <w:tcPr>
            <w:tcW w:w="852" w:type="dxa"/>
            <w:vAlign w:val="center"/>
          </w:tcPr>
          <w:p w14:paraId="16FF145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eastAsia="宋体" w:cs="宋体"/>
                <w:b w:val="0"/>
                <w:color w:val="auto"/>
                <w:sz w:val="21"/>
              </w:rPr>
              <w:t>1</w:t>
            </w:r>
            <w:r>
              <w:rPr>
                <w:rFonts w:hint="eastAsia" w:ascii="宋体" w:hAnsi="宋体" w:cs="宋体"/>
                <w:b w:val="0"/>
                <w:color w:val="auto"/>
                <w:sz w:val="21"/>
                <w:lang w:val="en-US" w:eastAsia="zh-CN"/>
              </w:rPr>
              <w:t>0</w:t>
            </w:r>
          </w:p>
        </w:tc>
        <w:tc>
          <w:tcPr>
            <w:tcW w:w="5952" w:type="dxa"/>
            <w:vAlign w:val="center"/>
          </w:tcPr>
          <w:p w14:paraId="52BCCDA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按三项分别计分：①网络规划成果含VLAN规划、IP地址规划、路由规划及网络拓扑图共4项，每项1分，共4分；②配置迁移步骤覆盖新院区核心新建VLAN与网关、删除新旧院区互通静态路由、删除旧院区对应VLAN全局与接口网关配置共3个环节，每个环节</w:t>
            </w:r>
            <w:r>
              <w:rPr>
                <w:rFonts w:hint="eastAsia" w:ascii="宋体" w:hAnsi="宋体" w:cs="宋体"/>
                <w:b w:val="0"/>
                <w:color w:val="auto"/>
                <w:sz w:val="21"/>
                <w:lang w:val="en-US" w:eastAsia="zh-CN"/>
              </w:rPr>
              <w:t>1</w:t>
            </w:r>
            <w:r>
              <w:rPr>
                <w:rFonts w:hint="eastAsia" w:ascii="宋体" w:hAnsi="宋体" w:eastAsia="宋体" w:cs="宋体"/>
                <w:b w:val="0"/>
                <w:color w:val="auto"/>
                <w:sz w:val="21"/>
              </w:rPr>
              <w:t>分，共</w:t>
            </w:r>
            <w:r>
              <w:rPr>
                <w:rFonts w:hint="eastAsia" w:ascii="宋体" w:hAnsi="宋体" w:cs="宋体"/>
                <w:b w:val="0"/>
                <w:color w:val="auto"/>
                <w:sz w:val="21"/>
                <w:lang w:val="en-US" w:eastAsia="zh-CN"/>
              </w:rPr>
              <w:t>3</w:t>
            </w:r>
            <w:r>
              <w:rPr>
                <w:rFonts w:hint="eastAsia" w:ascii="宋体" w:hAnsi="宋体" w:eastAsia="宋体" w:cs="宋体"/>
                <w:b w:val="0"/>
                <w:color w:val="auto"/>
                <w:sz w:val="21"/>
              </w:rPr>
              <w:t>分；③配置备份与切换验证方法（含丢包率、业务访问、流量本地转发校验）完整得</w:t>
            </w:r>
            <w:r>
              <w:rPr>
                <w:rFonts w:hint="eastAsia" w:ascii="宋体" w:hAnsi="宋体" w:cs="宋体"/>
                <w:b w:val="0"/>
                <w:color w:val="auto"/>
                <w:sz w:val="21"/>
                <w:lang w:val="en-US" w:eastAsia="zh-CN"/>
              </w:rPr>
              <w:t>3</w:t>
            </w:r>
            <w:r>
              <w:rPr>
                <w:rFonts w:hint="eastAsia" w:ascii="宋体" w:hAnsi="宋体" w:eastAsia="宋体" w:cs="宋体"/>
                <w:b w:val="0"/>
                <w:color w:val="auto"/>
                <w:sz w:val="21"/>
              </w:rPr>
              <w:t>分</w:t>
            </w:r>
          </w:p>
        </w:tc>
      </w:tr>
      <w:tr w14:paraId="58425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4ACE20D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4</w:t>
            </w:r>
          </w:p>
        </w:tc>
        <w:tc>
          <w:tcPr>
            <w:tcW w:w="1394" w:type="dxa"/>
            <w:vAlign w:val="center"/>
          </w:tcPr>
          <w:p w14:paraId="60CFF29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应急回退方案</w:t>
            </w:r>
          </w:p>
        </w:tc>
        <w:tc>
          <w:tcPr>
            <w:tcW w:w="852" w:type="dxa"/>
            <w:vAlign w:val="center"/>
          </w:tcPr>
          <w:p w14:paraId="2499593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cs="宋体"/>
                <w:b w:val="0"/>
                <w:color w:val="auto"/>
                <w:sz w:val="21"/>
                <w:lang w:val="en-US" w:eastAsia="zh-CN"/>
              </w:rPr>
              <w:t>7</w:t>
            </w:r>
          </w:p>
        </w:tc>
        <w:tc>
          <w:tcPr>
            <w:tcW w:w="5952" w:type="dxa"/>
            <w:vAlign w:val="center"/>
          </w:tcPr>
          <w:p w14:paraId="29FFE00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按三项分别计分：①回退触发条件覆盖网关配置异常、业务启动失败、网络大面积丢包、设备报错或环路风险四类，每覆盖1类得1分，共4分；②分步回退操作步骤完整并明确各步骤耗时与回退总时长承诺得</w:t>
            </w:r>
            <w:r>
              <w:rPr>
                <w:rFonts w:hint="eastAsia" w:ascii="宋体" w:hAnsi="宋体" w:cs="宋体"/>
                <w:b w:val="0"/>
                <w:color w:val="auto"/>
                <w:sz w:val="21"/>
                <w:lang w:val="en-US" w:eastAsia="zh-CN"/>
              </w:rPr>
              <w:t>2</w:t>
            </w:r>
            <w:r>
              <w:rPr>
                <w:rFonts w:hint="eastAsia" w:ascii="宋体" w:hAnsi="宋体" w:eastAsia="宋体" w:cs="宋体"/>
                <w:b w:val="0"/>
                <w:color w:val="auto"/>
                <w:sz w:val="21"/>
              </w:rPr>
              <w:t>分，不完整得1分，未提供得0分；③明确回退方案经采购人审核确认后实施得1分</w:t>
            </w:r>
          </w:p>
        </w:tc>
      </w:tr>
      <w:tr w14:paraId="1A13E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045BCF3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5</w:t>
            </w:r>
          </w:p>
        </w:tc>
        <w:tc>
          <w:tcPr>
            <w:tcW w:w="1394" w:type="dxa"/>
            <w:vAlign w:val="center"/>
          </w:tcPr>
          <w:p w14:paraId="5128BEB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质保与售后服务方案</w:t>
            </w:r>
          </w:p>
        </w:tc>
        <w:tc>
          <w:tcPr>
            <w:tcW w:w="852" w:type="dxa"/>
            <w:vAlign w:val="center"/>
          </w:tcPr>
          <w:p w14:paraId="2328DDC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cs="宋体"/>
                <w:b w:val="0"/>
                <w:color w:val="auto"/>
                <w:sz w:val="21"/>
                <w:lang w:val="en-US" w:eastAsia="zh-CN"/>
              </w:rPr>
              <w:t>7</w:t>
            </w:r>
          </w:p>
        </w:tc>
        <w:tc>
          <w:tcPr>
            <w:tcW w:w="5952" w:type="dxa"/>
            <w:vAlign w:val="center"/>
          </w:tcPr>
          <w:p w14:paraId="71D1D63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按三项分别计分：①质保期承诺不少于1年得2分，每延长1年加1分，本项最高</w:t>
            </w:r>
            <w:r>
              <w:rPr>
                <w:rFonts w:hint="eastAsia" w:ascii="宋体" w:hAnsi="宋体" w:cs="宋体"/>
                <w:b w:val="0"/>
                <w:color w:val="auto"/>
                <w:sz w:val="21"/>
                <w:lang w:val="en-US" w:eastAsia="zh-CN"/>
              </w:rPr>
              <w:t>3</w:t>
            </w:r>
            <w:r>
              <w:rPr>
                <w:rFonts w:hint="eastAsia" w:ascii="宋体" w:hAnsi="宋体" w:eastAsia="宋体" w:cs="宋体"/>
                <w:b w:val="0"/>
                <w:color w:val="auto"/>
                <w:sz w:val="21"/>
              </w:rPr>
              <w:t>分；②故障响应时间承诺（含响应时限与到场时限）明确可行得2分；③质保期内巡检计划与备件保障方案完整得</w:t>
            </w:r>
            <w:r>
              <w:rPr>
                <w:rFonts w:hint="eastAsia" w:ascii="宋体" w:hAnsi="宋体" w:cs="宋体"/>
                <w:b w:val="0"/>
                <w:color w:val="auto"/>
                <w:sz w:val="21"/>
                <w:lang w:val="en-US" w:eastAsia="zh-CN"/>
              </w:rPr>
              <w:t>2</w:t>
            </w:r>
            <w:r>
              <w:rPr>
                <w:rFonts w:hint="eastAsia" w:ascii="宋体" w:hAnsi="宋体" w:eastAsia="宋体" w:cs="宋体"/>
                <w:b w:val="0"/>
                <w:color w:val="auto"/>
                <w:sz w:val="21"/>
              </w:rPr>
              <w:t>分</w:t>
            </w:r>
          </w:p>
        </w:tc>
      </w:tr>
      <w:tr w14:paraId="57D11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087FAE4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6</w:t>
            </w:r>
          </w:p>
        </w:tc>
        <w:tc>
          <w:tcPr>
            <w:tcW w:w="1394" w:type="dxa"/>
            <w:vAlign w:val="center"/>
          </w:tcPr>
          <w:p w14:paraId="254D761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培训方案</w:t>
            </w:r>
          </w:p>
        </w:tc>
        <w:tc>
          <w:tcPr>
            <w:tcW w:w="852" w:type="dxa"/>
            <w:vAlign w:val="center"/>
          </w:tcPr>
          <w:p w14:paraId="27B929B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cs="宋体"/>
                <w:b w:val="0"/>
                <w:color w:val="auto"/>
                <w:sz w:val="21"/>
                <w:lang w:val="en-US" w:eastAsia="zh-CN"/>
              </w:rPr>
              <w:t>3</w:t>
            </w:r>
          </w:p>
        </w:tc>
        <w:tc>
          <w:tcPr>
            <w:tcW w:w="5952" w:type="dxa"/>
            <w:vAlign w:val="center"/>
          </w:tcPr>
          <w:p w14:paraId="058198D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提供机房与网络运维人员培训方案，含培训内容、课时、师资与考核安排的得</w:t>
            </w:r>
            <w:r>
              <w:rPr>
                <w:rFonts w:hint="eastAsia" w:ascii="宋体" w:hAnsi="宋体" w:cs="宋体"/>
                <w:b w:val="0"/>
                <w:color w:val="auto"/>
                <w:sz w:val="21"/>
                <w:lang w:val="en-US" w:eastAsia="zh-CN"/>
              </w:rPr>
              <w:t>3</w:t>
            </w:r>
            <w:r>
              <w:rPr>
                <w:rFonts w:hint="eastAsia" w:ascii="宋体" w:hAnsi="宋体" w:eastAsia="宋体" w:cs="宋体"/>
                <w:b w:val="0"/>
                <w:color w:val="auto"/>
                <w:sz w:val="21"/>
              </w:rPr>
              <w:t>分；仅作培训承诺而无具体方案的得2分；未提供得0分</w:t>
            </w:r>
          </w:p>
        </w:tc>
      </w:tr>
      <w:tr w14:paraId="62DE8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0B77720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7</w:t>
            </w:r>
          </w:p>
        </w:tc>
        <w:tc>
          <w:tcPr>
            <w:tcW w:w="1394" w:type="dxa"/>
            <w:vAlign w:val="center"/>
          </w:tcPr>
          <w:p w14:paraId="005DA7C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同类项目业绩</w:t>
            </w:r>
          </w:p>
        </w:tc>
        <w:tc>
          <w:tcPr>
            <w:tcW w:w="852" w:type="dxa"/>
            <w:vAlign w:val="center"/>
          </w:tcPr>
          <w:p w14:paraId="23FAF44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cs="宋体"/>
                <w:b w:val="0"/>
                <w:color w:val="auto"/>
                <w:sz w:val="21"/>
                <w:lang w:val="en-US" w:eastAsia="zh-CN"/>
              </w:rPr>
              <w:t>5</w:t>
            </w:r>
          </w:p>
        </w:tc>
        <w:tc>
          <w:tcPr>
            <w:tcW w:w="5952" w:type="dxa"/>
            <w:vAlign w:val="center"/>
          </w:tcPr>
          <w:p w14:paraId="6D7955D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供应商近3年（2023年1月1日以来，以合同签订时间为准）承接机房搬迁、机房建设或核心网络切换类项目，每提供1个合同关键页复印件得2分，最高</w:t>
            </w:r>
            <w:r>
              <w:rPr>
                <w:rFonts w:hint="eastAsia" w:ascii="宋体" w:hAnsi="宋体" w:cs="宋体"/>
                <w:b w:val="0"/>
                <w:color w:val="auto"/>
                <w:sz w:val="21"/>
                <w:lang w:val="en-US" w:eastAsia="zh-CN"/>
              </w:rPr>
              <w:t>5</w:t>
            </w:r>
            <w:r>
              <w:rPr>
                <w:rFonts w:hint="eastAsia" w:ascii="宋体" w:hAnsi="宋体" w:eastAsia="宋体" w:cs="宋体"/>
                <w:b w:val="0"/>
                <w:color w:val="auto"/>
                <w:sz w:val="21"/>
              </w:rPr>
              <w:t>分；未提供或未加盖供应商公章不得分</w:t>
            </w:r>
          </w:p>
        </w:tc>
      </w:tr>
      <w:tr w14:paraId="46B82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0D6E5FC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8</w:t>
            </w:r>
          </w:p>
        </w:tc>
        <w:tc>
          <w:tcPr>
            <w:tcW w:w="1394" w:type="dxa"/>
            <w:vAlign w:val="center"/>
          </w:tcPr>
          <w:p w14:paraId="5E5D76F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项目团队</w:t>
            </w:r>
          </w:p>
        </w:tc>
        <w:tc>
          <w:tcPr>
            <w:tcW w:w="852" w:type="dxa"/>
            <w:vAlign w:val="center"/>
          </w:tcPr>
          <w:p w14:paraId="42AAA10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lang w:eastAsia="zh-CN"/>
              </w:rPr>
            </w:pPr>
            <w:r>
              <w:rPr>
                <w:rFonts w:hint="eastAsia" w:ascii="宋体" w:hAnsi="宋体" w:cs="宋体"/>
                <w:b w:val="0"/>
                <w:color w:val="auto"/>
                <w:sz w:val="21"/>
                <w:lang w:val="en-US" w:eastAsia="zh-CN"/>
              </w:rPr>
              <w:t>5</w:t>
            </w:r>
          </w:p>
        </w:tc>
        <w:tc>
          <w:tcPr>
            <w:tcW w:w="5952" w:type="dxa"/>
            <w:vAlign w:val="center"/>
          </w:tcPr>
          <w:p w14:paraId="26EF55B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按两项分别计分：①拟派项目经理具备信息系统项目管理类高级证书得</w:t>
            </w:r>
            <w:r>
              <w:rPr>
                <w:rFonts w:hint="eastAsia" w:ascii="宋体" w:hAnsi="宋体" w:cs="宋体"/>
                <w:b w:val="0"/>
                <w:color w:val="auto"/>
                <w:sz w:val="21"/>
                <w:lang w:val="en-US" w:eastAsia="zh-CN"/>
              </w:rPr>
              <w:t>3</w:t>
            </w:r>
            <w:r>
              <w:rPr>
                <w:rFonts w:hint="eastAsia" w:ascii="宋体" w:hAnsi="宋体" w:eastAsia="宋体" w:cs="宋体"/>
                <w:b w:val="0"/>
                <w:color w:val="auto"/>
                <w:sz w:val="21"/>
              </w:rPr>
              <w:t>分；②拟派实施人员中至少1人具备网络厂商中级及以上技术认证得</w:t>
            </w:r>
            <w:r>
              <w:rPr>
                <w:rFonts w:hint="eastAsia" w:ascii="宋体" w:hAnsi="宋体" w:cs="宋体"/>
                <w:b w:val="0"/>
                <w:color w:val="auto"/>
                <w:sz w:val="21"/>
                <w:lang w:val="en-US" w:eastAsia="zh-CN"/>
              </w:rPr>
              <w:t>2</w:t>
            </w:r>
            <w:r>
              <w:rPr>
                <w:rFonts w:hint="eastAsia" w:ascii="宋体" w:hAnsi="宋体" w:eastAsia="宋体" w:cs="宋体"/>
                <w:b w:val="0"/>
                <w:color w:val="auto"/>
                <w:sz w:val="21"/>
              </w:rPr>
              <w:t>分。须提供证书复印件及近三个月内任意一个月社保证明，否则不得分</w:t>
            </w:r>
          </w:p>
        </w:tc>
      </w:tr>
      <w:tr w14:paraId="2B3CF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2225425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9</w:t>
            </w:r>
          </w:p>
        </w:tc>
        <w:tc>
          <w:tcPr>
            <w:tcW w:w="1394" w:type="dxa"/>
            <w:vAlign w:val="center"/>
          </w:tcPr>
          <w:p w14:paraId="0A6E32C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企业资质</w:t>
            </w:r>
          </w:p>
        </w:tc>
        <w:tc>
          <w:tcPr>
            <w:tcW w:w="852" w:type="dxa"/>
            <w:vAlign w:val="center"/>
          </w:tcPr>
          <w:p w14:paraId="409E16B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color w:val="auto"/>
              </w:rPr>
            </w:pPr>
            <w:r>
              <w:rPr>
                <w:rFonts w:hint="eastAsia" w:ascii="宋体" w:hAnsi="宋体" w:eastAsia="宋体" w:cs="宋体"/>
                <w:b w:val="0"/>
                <w:color w:val="auto"/>
                <w:sz w:val="21"/>
              </w:rPr>
              <w:t>4</w:t>
            </w:r>
          </w:p>
        </w:tc>
        <w:tc>
          <w:tcPr>
            <w:tcW w:w="5952" w:type="dxa"/>
            <w:vAlign w:val="center"/>
          </w:tcPr>
          <w:p w14:paraId="0BD9527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color w:val="auto"/>
              </w:rPr>
            </w:pPr>
            <w:r>
              <w:rPr>
                <w:rFonts w:hint="eastAsia" w:ascii="宋体" w:hAnsi="宋体" w:eastAsia="宋体" w:cs="宋体"/>
                <w:b w:val="0"/>
                <w:color w:val="auto"/>
                <w:sz w:val="21"/>
              </w:rPr>
              <w:t>具有ISO9001质量管理体系认证得2分；具有ISO27001信息安全管理体系认证得2分。须提供有效期内证书复印件并加盖供应商公章，否则不得分</w:t>
            </w:r>
          </w:p>
        </w:tc>
      </w:tr>
      <w:tr w14:paraId="08996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27" w:type="dxa"/>
            <w:vAlign w:val="center"/>
          </w:tcPr>
          <w:p w14:paraId="5BF3843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eastAsia="宋体" w:cs="宋体"/>
                <w:b/>
                <w:color w:val="auto"/>
                <w:sz w:val="21"/>
              </w:rPr>
              <w:t>合计</w:t>
            </w:r>
          </w:p>
        </w:tc>
        <w:tc>
          <w:tcPr>
            <w:tcW w:w="1394" w:type="dxa"/>
            <w:vAlign w:val="center"/>
          </w:tcPr>
          <w:p w14:paraId="282352A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textAlignment w:val="auto"/>
              <w:rPr>
                <w:rFonts w:hint="eastAsia" w:ascii="宋体" w:hAnsi="宋体" w:eastAsia="宋体" w:cs="宋体"/>
                <w:b/>
                <w:color w:val="auto"/>
              </w:rPr>
            </w:pPr>
            <w:r>
              <w:rPr>
                <w:rFonts w:hint="eastAsia" w:ascii="宋体" w:hAnsi="宋体" w:eastAsia="宋体" w:cs="宋体"/>
                <w:b/>
                <w:color w:val="auto"/>
                <w:sz w:val="21"/>
              </w:rPr>
              <w:t>—</w:t>
            </w:r>
          </w:p>
        </w:tc>
        <w:tc>
          <w:tcPr>
            <w:tcW w:w="852" w:type="dxa"/>
            <w:vAlign w:val="center"/>
          </w:tcPr>
          <w:p w14:paraId="6E27688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hint="eastAsia" w:ascii="宋体" w:hAnsi="宋体" w:eastAsia="宋体" w:cs="宋体"/>
                <w:b/>
                <w:color w:val="auto"/>
              </w:rPr>
            </w:pPr>
            <w:r>
              <w:rPr>
                <w:rFonts w:hint="eastAsia" w:ascii="宋体" w:hAnsi="宋体" w:cs="宋体"/>
                <w:b/>
                <w:color w:val="auto"/>
                <w:sz w:val="21"/>
                <w:lang w:val="en-US" w:eastAsia="zh-CN"/>
              </w:rPr>
              <w:t>6</w:t>
            </w:r>
            <w:r>
              <w:rPr>
                <w:rFonts w:hint="eastAsia" w:ascii="宋体" w:hAnsi="宋体" w:eastAsia="宋体" w:cs="宋体"/>
                <w:b/>
                <w:color w:val="auto"/>
                <w:sz w:val="21"/>
              </w:rPr>
              <w:t>0</w:t>
            </w:r>
          </w:p>
        </w:tc>
        <w:tc>
          <w:tcPr>
            <w:tcW w:w="5952" w:type="dxa"/>
            <w:vAlign w:val="center"/>
          </w:tcPr>
          <w:p w14:paraId="78E1C6ED">
            <w:pPr>
              <w:keepNext w:val="0"/>
              <w:keepLines w:val="0"/>
              <w:pageBreakBefore w:val="0"/>
              <w:widowControl/>
              <w:kinsoku/>
              <w:wordWrap/>
              <w:overflowPunct/>
              <w:topLinePunct w:val="0"/>
              <w:autoSpaceDE/>
              <w:autoSpaceDN/>
              <w:bidi w:val="0"/>
              <w:adjustRightInd/>
              <w:snapToGrid w:val="0"/>
              <w:spacing w:after="0" w:line="240" w:lineRule="auto"/>
              <w:ind w:firstLine="0" w:firstLineChars="0"/>
              <w:jc w:val="left"/>
              <w:textAlignment w:val="auto"/>
              <w:rPr>
                <w:rFonts w:hint="eastAsia" w:ascii="宋体" w:hAnsi="宋体" w:eastAsia="宋体" w:cs="宋体"/>
                <w:b/>
                <w:color w:val="auto"/>
              </w:rPr>
            </w:pPr>
            <w:r>
              <w:rPr>
                <w:rFonts w:hint="eastAsia" w:ascii="宋体" w:hAnsi="宋体" w:eastAsia="宋体" w:cs="宋体"/>
                <w:b/>
                <w:color w:val="auto"/>
                <w:sz w:val="21"/>
              </w:rPr>
              <w:t>—</w:t>
            </w:r>
          </w:p>
        </w:tc>
      </w:tr>
    </w:tbl>
    <w:p w14:paraId="75D1D164">
      <w:pPr>
        <w:pStyle w:val="4"/>
        <w:ind w:firstLine="600"/>
        <w:rPr>
          <w:rFonts w:hint="eastAsia" w:ascii="宋体" w:hAnsi="宋体" w:eastAsia="宋体" w:cs="宋体"/>
          <w:color w:val="auto"/>
        </w:rPr>
      </w:pPr>
      <w:r>
        <w:rPr>
          <w:rFonts w:hint="eastAsia" w:ascii="宋体" w:hAnsi="宋体" w:eastAsia="宋体" w:cs="宋体"/>
          <w:color w:val="auto"/>
        </w:rPr>
        <w:t>4.4 价格评分表（</w:t>
      </w:r>
      <w:r>
        <w:rPr>
          <w:rFonts w:hint="eastAsia" w:ascii="宋体" w:hAnsi="宋体" w:cs="宋体"/>
          <w:color w:val="auto"/>
          <w:lang w:val="en-US" w:eastAsia="zh-CN"/>
        </w:rPr>
        <w:t>4</w:t>
      </w:r>
      <w:r>
        <w:rPr>
          <w:rFonts w:hint="eastAsia" w:ascii="宋体" w:hAnsi="宋体" w:eastAsia="宋体" w:cs="宋体"/>
          <w:color w:val="auto"/>
        </w:rPr>
        <w:t>0分）</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69"/>
        <w:gridCol w:w="859"/>
        <w:gridCol w:w="7097"/>
      </w:tblGrid>
      <w:tr w14:paraId="52759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1069" w:type="dxa"/>
            <w:vAlign w:val="center"/>
          </w:tcPr>
          <w:p w14:paraId="0E81492A">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评分项</w:t>
            </w:r>
          </w:p>
        </w:tc>
        <w:tc>
          <w:tcPr>
            <w:tcW w:w="859" w:type="dxa"/>
            <w:vAlign w:val="center"/>
          </w:tcPr>
          <w:p w14:paraId="10E086F5">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分值</w:t>
            </w:r>
          </w:p>
        </w:tc>
        <w:tc>
          <w:tcPr>
            <w:tcW w:w="7096" w:type="dxa"/>
            <w:vAlign w:val="center"/>
          </w:tcPr>
          <w:p w14:paraId="10A62F69">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评分标准</w:t>
            </w:r>
          </w:p>
        </w:tc>
      </w:tr>
      <w:tr w14:paraId="29F10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069" w:type="dxa"/>
            <w:vAlign w:val="center"/>
          </w:tcPr>
          <w:p w14:paraId="034026FF">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价格分</w:t>
            </w:r>
          </w:p>
        </w:tc>
        <w:tc>
          <w:tcPr>
            <w:tcW w:w="859" w:type="dxa"/>
            <w:vAlign w:val="center"/>
          </w:tcPr>
          <w:p w14:paraId="4F24AC0C">
            <w:pPr>
              <w:snapToGrid w:val="0"/>
              <w:spacing w:after="0" w:line="240" w:lineRule="auto"/>
              <w:ind w:left="0" w:leftChars="0" w:right="0" w:rightChars="0" w:firstLine="0" w:firstLineChars="0"/>
              <w:jc w:val="right"/>
              <w:rPr>
                <w:rFonts w:hint="eastAsia" w:ascii="宋体" w:hAnsi="宋体" w:eastAsia="宋体" w:cs="宋体"/>
                <w:color w:val="auto"/>
              </w:rPr>
            </w:pPr>
            <w:r>
              <w:rPr>
                <w:rFonts w:hint="eastAsia" w:ascii="宋体" w:hAnsi="宋体" w:cs="宋体"/>
                <w:b w:val="0"/>
                <w:color w:val="auto"/>
                <w:sz w:val="21"/>
                <w:lang w:val="en-US" w:eastAsia="zh-CN"/>
              </w:rPr>
              <w:t>4</w:t>
            </w:r>
            <w:r>
              <w:rPr>
                <w:rFonts w:hint="eastAsia" w:ascii="宋体" w:hAnsi="宋体" w:eastAsia="宋体" w:cs="宋体"/>
                <w:b w:val="0"/>
                <w:color w:val="auto"/>
                <w:sz w:val="21"/>
              </w:rPr>
              <w:t>0</w:t>
            </w:r>
          </w:p>
        </w:tc>
        <w:tc>
          <w:tcPr>
            <w:tcW w:w="7096" w:type="dxa"/>
            <w:vAlign w:val="center"/>
          </w:tcPr>
          <w:p w14:paraId="4CE93708">
            <w:pPr>
              <w:snapToGrid w:val="0"/>
              <w:spacing w:after="0" w:line="240" w:lineRule="auto"/>
              <w:ind w:firstLine="0" w:firstLineChars="0"/>
              <w:jc w:val="left"/>
              <w:rPr>
                <w:rFonts w:hint="eastAsia" w:ascii="宋体" w:hAnsi="宋体" w:eastAsia="宋体" w:cs="宋体"/>
                <w:color w:val="auto"/>
              </w:rPr>
            </w:pPr>
            <w:r>
              <w:rPr>
                <w:rFonts w:hint="eastAsia" w:ascii="宋体" w:hAnsi="宋体" w:eastAsia="宋体" w:cs="宋体"/>
                <w:b w:val="0"/>
                <w:color w:val="auto"/>
                <w:sz w:val="21"/>
              </w:rPr>
              <w:t>满足采购需求文件要求且响应报价最低的报价为评标基准价，其价格分为满分</w:t>
            </w:r>
            <w:r>
              <w:rPr>
                <w:rFonts w:hint="eastAsia" w:ascii="宋体" w:hAnsi="宋体" w:cs="宋体"/>
                <w:b w:val="0"/>
                <w:color w:val="auto"/>
                <w:sz w:val="21"/>
                <w:lang w:val="en-US" w:eastAsia="zh-CN"/>
              </w:rPr>
              <w:t>4</w:t>
            </w:r>
            <w:r>
              <w:rPr>
                <w:rFonts w:hint="eastAsia" w:ascii="宋体" w:hAnsi="宋体" w:eastAsia="宋体" w:cs="宋体"/>
                <w:b w:val="0"/>
                <w:color w:val="auto"/>
                <w:sz w:val="21"/>
              </w:rPr>
              <w:t>0分；其他供应商价格分按下列公式计算：价格分＝（评标基准价÷响应报价）×</w:t>
            </w:r>
            <w:r>
              <w:rPr>
                <w:rFonts w:hint="eastAsia" w:ascii="宋体" w:hAnsi="宋体" w:cs="宋体"/>
                <w:b w:val="0"/>
                <w:color w:val="auto"/>
                <w:sz w:val="21"/>
                <w:lang w:val="en-US" w:eastAsia="zh-CN"/>
              </w:rPr>
              <w:t>4</w:t>
            </w:r>
            <w:r>
              <w:rPr>
                <w:rFonts w:hint="eastAsia" w:ascii="宋体" w:hAnsi="宋体" w:eastAsia="宋体" w:cs="宋体"/>
                <w:b w:val="0"/>
                <w:color w:val="auto"/>
                <w:sz w:val="21"/>
              </w:rPr>
              <w:t>0，四舍五入保留两位小数</w:t>
            </w:r>
          </w:p>
        </w:tc>
      </w:tr>
    </w:tbl>
    <w:p w14:paraId="3B95438F">
      <w:pPr>
        <w:pStyle w:val="4"/>
        <w:ind w:firstLine="600"/>
        <w:rPr>
          <w:rFonts w:hint="eastAsia" w:ascii="宋体" w:hAnsi="宋体" w:eastAsia="宋体" w:cs="宋体"/>
          <w:color w:val="auto"/>
        </w:rPr>
      </w:pPr>
      <w:r>
        <w:rPr>
          <w:rFonts w:hint="eastAsia" w:ascii="宋体" w:hAnsi="宋体" w:eastAsia="宋体" w:cs="宋体"/>
          <w:color w:val="auto"/>
        </w:rPr>
        <w:t>4.5 综合比较</w:t>
      </w:r>
    </w:p>
    <w:p w14:paraId="4F3C6F0E">
      <w:pPr>
        <w:pStyle w:val="36"/>
        <w:ind w:left="420"/>
        <w:rPr>
          <w:rFonts w:hint="eastAsia" w:ascii="宋体" w:hAnsi="宋体" w:eastAsia="宋体" w:cs="宋体"/>
          <w:color w:val="auto"/>
        </w:rPr>
      </w:pPr>
      <w:r>
        <w:rPr>
          <w:rFonts w:hint="eastAsia" w:ascii="宋体" w:hAnsi="宋体" w:eastAsia="宋体" w:cs="宋体"/>
          <w:color w:val="auto"/>
        </w:rPr>
        <w:t>1. 综合得分＝商务技术得分＋价格得分；</w:t>
      </w:r>
    </w:p>
    <w:p w14:paraId="0264A71F">
      <w:pPr>
        <w:pStyle w:val="36"/>
        <w:ind w:left="420"/>
        <w:rPr>
          <w:rFonts w:hint="eastAsia" w:ascii="宋体" w:hAnsi="宋体" w:eastAsia="宋体" w:cs="宋体"/>
          <w:color w:val="auto"/>
        </w:rPr>
      </w:pPr>
      <w:r>
        <w:rPr>
          <w:rFonts w:hint="eastAsia" w:ascii="宋体" w:hAnsi="宋体" w:eastAsia="宋体" w:cs="宋体"/>
          <w:color w:val="auto"/>
        </w:rPr>
        <w:t>2. 按综合得分由高到低顺序排序，推荐综合得分排名第一的供应商为成交候选供应商；</w:t>
      </w:r>
    </w:p>
    <w:p w14:paraId="24B95A00">
      <w:pPr>
        <w:pStyle w:val="36"/>
        <w:ind w:left="420"/>
        <w:rPr>
          <w:rFonts w:hint="eastAsia" w:ascii="宋体" w:hAnsi="宋体" w:eastAsia="宋体" w:cs="宋体"/>
          <w:color w:val="auto"/>
        </w:rPr>
      </w:pPr>
      <w:r>
        <w:rPr>
          <w:rFonts w:hint="eastAsia" w:ascii="宋体" w:hAnsi="宋体" w:eastAsia="宋体" w:cs="宋体"/>
          <w:color w:val="auto"/>
        </w:rPr>
        <w:t>3. 综合得分相同的，按商务技术得分由高到低顺序确定排序；商务技术得分仍相同的，按响应报价由低到高顺序确定排序。</w:t>
      </w:r>
    </w:p>
    <w:p w14:paraId="56BAD2A8">
      <w:pPr>
        <w:numPr>
          <w:ilvl w:val="0"/>
          <w:numId w:val="0"/>
        </w:numPr>
        <w:spacing w:line="360" w:lineRule="auto"/>
        <w:rPr>
          <w:rFonts w:hint="eastAsia" w:ascii="宋体" w:hAnsi="宋体" w:eastAsia="宋体" w:cs="宋体"/>
          <w:sz w:val="21"/>
          <w:szCs w:val="21"/>
        </w:rPr>
      </w:pPr>
    </w:p>
    <w:p w14:paraId="398B021A">
      <w:pPr>
        <w:numPr>
          <w:ilvl w:val="0"/>
          <w:numId w:val="0"/>
        </w:numPr>
        <w:spacing w:line="360" w:lineRule="auto"/>
        <w:rPr>
          <w:rFonts w:hint="eastAsia" w:ascii="宋体" w:hAnsi="宋体" w:eastAsia="宋体" w:cs="宋体"/>
          <w:sz w:val="21"/>
          <w:szCs w:val="21"/>
        </w:rPr>
      </w:pPr>
    </w:p>
    <w:p w14:paraId="5F1895F4">
      <w:pPr>
        <w:numPr>
          <w:ilvl w:val="0"/>
          <w:numId w:val="0"/>
        </w:numPr>
        <w:spacing w:line="360" w:lineRule="auto"/>
        <w:rPr>
          <w:rFonts w:hint="eastAsia" w:ascii="宋体" w:hAnsi="宋体" w:eastAsia="宋体" w:cs="宋体"/>
          <w:sz w:val="21"/>
          <w:szCs w:val="21"/>
        </w:rPr>
      </w:pPr>
    </w:p>
    <w:p w14:paraId="14C70943">
      <w:pPr>
        <w:numPr>
          <w:ilvl w:val="0"/>
          <w:numId w:val="0"/>
        </w:numPr>
        <w:spacing w:line="360" w:lineRule="auto"/>
        <w:rPr>
          <w:rFonts w:hint="eastAsia" w:ascii="宋体" w:hAnsi="宋体" w:eastAsia="宋体" w:cs="宋体"/>
          <w:sz w:val="21"/>
          <w:szCs w:val="21"/>
        </w:rPr>
      </w:pPr>
    </w:p>
    <w:p w14:paraId="30043BF3">
      <w:pPr>
        <w:numPr>
          <w:ilvl w:val="0"/>
          <w:numId w:val="0"/>
        </w:numPr>
        <w:spacing w:line="360" w:lineRule="auto"/>
        <w:rPr>
          <w:rFonts w:hint="eastAsia" w:ascii="宋体" w:hAnsi="宋体" w:eastAsia="宋体" w:cs="宋体"/>
          <w:sz w:val="21"/>
          <w:szCs w:val="21"/>
        </w:rPr>
      </w:pPr>
    </w:p>
    <w:p w14:paraId="2BEE8BCC">
      <w:pPr>
        <w:numPr>
          <w:ilvl w:val="0"/>
          <w:numId w:val="0"/>
        </w:numPr>
        <w:spacing w:line="360" w:lineRule="auto"/>
        <w:rPr>
          <w:rFonts w:hint="eastAsia" w:ascii="宋体" w:hAnsi="宋体" w:eastAsia="宋体" w:cs="宋体"/>
          <w:sz w:val="21"/>
          <w:szCs w:val="21"/>
        </w:rPr>
      </w:pPr>
    </w:p>
    <w:p w14:paraId="75DC45E1">
      <w:pPr>
        <w:numPr>
          <w:ilvl w:val="0"/>
          <w:numId w:val="0"/>
        </w:numPr>
        <w:spacing w:line="360" w:lineRule="auto"/>
        <w:rPr>
          <w:rFonts w:hint="eastAsia" w:ascii="宋体" w:hAnsi="宋体" w:eastAsia="宋体" w:cs="宋体"/>
          <w:sz w:val="21"/>
          <w:szCs w:val="21"/>
          <w:lang w:val="en-US" w:eastAsia="zh-CN"/>
        </w:rPr>
      </w:pPr>
      <w:r>
        <w:rPr>
          <w:rStyle w:val="13"/>
          <w:rFonts w:hint="eastAsia" w:ascii="Times New Roman" w:hAnsi="Times New Roman" w:eastAsia="宋体" w:cs="Times New Roman"/>
          <w:color w:val="333333"/>
          <w:kern w:val="0"/>
          <w:sz w:val="28"/>
          <w:szCs w:val="28"/>
          <w:lang w:val="en-US" w:eastAsia="zh-CN" w:bidi="ar-SA"/>
        </w:rPr>
        <w:t>二、付款方式</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签订合同后，成交供应商供货并安装调试验收合格后，出具等额有效发票30个工作日内支付合同全额。</w:t>
      </w:r>
    </w:p>
    <w:p w14:paraId="47B7B043">
      <w:pPr>
        <w:numPr>
          <w:ilvl w:val="0"/>
          <w:numId w:val="0"/>
        </w:numPr>
        <w:spacing w:line="360" w:lineRule="auto"/>
        <w:ind w:firstLine="420" w:firstLineChars="200"/>
        <w:rPr>
          <w:rFonts w:hint="default" w:asciiTheme="minorEastAsia" w:hAnsiTheme="minorEastAsia" w:eastAsiaTheme="minorEastAsia" w:cstheme="minorEastAsia"/>
          <w:sz w:val="21"/>
          <w:szCs w:val="21"/>
          <w:lang w:val="en-US" w:eastAsia="zh-CN"/>
        </w:rPr>
      </w:pPr>
    </w:p>
    <w:p w14:paraId="700F8EDB">
      <w:pPr>
        <w:numPr>
          <w:ilvl w:val="0"/>
          <w:numId w:val="0"/>
        </w:numPr>
        <w:spacing w:line="360" w:lineRule="auto"/>
        <w:rPr>
          <w:rStyle w:val="13"/>
          <w:rFonts w:hint="eastAsia" w:ascii="Times New Roman" w:hAnsi="Times New Roman" w:eastAsia="宋体" w:cs="Times New Roman"/>
          <w:color w:val="333333"/>
          <w:kern w:val="0"/>
          <w:sz w:val="28"/>
          <w:szCs w:val="28"/>
          <w:lang w:val="en-US" w:eastAsia="zh-CN" w:bidi="ar-SA"/>
        </w:rPr>
      </w:pPr>
      <w:r>
        <w:rPr>
          <w:rStyle w:val="13"/>
          <w:rFonts w:hint="eastAsia" w:ascii="Times New Roman" w:hAnsi="Times New Roman" w:eastAsia="宋体" w:cs="Times New Roman"/>
          <w:color w:val="333333"/>
          <w:kern w:val="0"/>
          <w:sz w:val="28"/>
          <w:szCs w:val="28"/>
          <w:lang w:val="en-US" w:eastAsia="zh-CN" w:bidi="ar-SA"/>
        </w:rPr>
        <w:t>三、报价要求</w:t>
      </w:r>
    </w:p>
    <w:p w14:paraId="5EF4F738">
      <w:pPr>
        <w:pStyle w:val="9"/>
        <w:rPr>
          <w:rFonts w:ascii="微软雅黑" w:hAnsi="微软雅黑" w:eastAsia="微软雅黑"/>
        </w:rPr>
      </w:pPr>
      <w:r>
        <w:rPr>
          <w:rFonts w:hint="eastAsia"/>
        </w:rPr>
        <w:t>报价供应商必须按要求完整填写相关附表，并签字盖章。</w:t>
      </w:r>
    </w:p>
    <w:p w14:paraId="1F29FFBF">
      <w:pPr>
        <w:pStyle w:val="9"/>
        <w:rPr>
          <w:rFonts w:ascii="微软雅黑" w:hAnsi="微软雅黑" w:eastAsia="微软雅黑"/>
        </w:rPr>
      </w:pPr>
      <w:r>
        <w:rPr>
          <w:rFonts w:hint="eastAsia"/>
        </w:rPr>
        <w:t>备注：</w:t>
      </w:r>
    </w:p>
    <w:p w14:paraId="6F502451">
      <w:pPr>
        <w:pStyle w:val="9"/>
        <w:rPr>
          <w:rFonts w:ascii="微软雅黑" w:hAnsi="微软雅黑" w:eastAsia="微软雅黑"/>
        </w:rPr>
      </w:pPr>
      <w:r>
        <w:rPr>
          <w:rFonts w:hint="eastAsia"/>
        </w:rPr>
        <w:t>1、该报价文件要求一正一副，密封递交。</w:t>
      </w:r>
    </w:p>
    <w:p w14:paraId="3F73B465">
      <w:pPr>
        <w:pStyle w:val="9"/>
        <w:rPr>
          <w:rFonts w:ascii="微软雅黑" w:hAnsi="微软雅黑" w:eastAsia="微软雅黑"/>
        </w:rPr>
      </w:pPr>
      <w:r>
        <w:rPr>
          <w:rFonts w:hint="eastAsia"/>
        </w:rPr>
        <w:t>2、询价文件正本与副本可以单独密封包装，也可以所有询价文件密封包装在一个密封袋内。密封袋的封口处应粘贴处理。</w:t>
      </w:r>
    </w:p>
    <w:p w14:paraId="366E6DC4">
      <w:pPr>
        <w:pStyle w:val="9"/>
        <w:rPr>
          <w:rFonts w:ascii="微软雅黑" w:hAnsi="微软雅黑" w:eastAsia="微软雅黑"/>
        </w:rPr>
      </w:pPr>
      <w:r>
        <w:rPr>
          <w:rFonts w:hint="eastAsia"/>
        </w:rPr>
        <w:t>3、密封外包装加盖供应商印章。</w:t>
      </w:r>
    </w:p>
    <w:p w14:paraId="0D88FDC3">
      <w:pPr>
        <w:pStyle w:val="9"/>
        <w:rPr>
          <w:rFonts w:ascii="微软雅黑" w:hAnsi="微软雅黑" w:eastAsia="微软雅黑"/>
        </w:rPr>
      </w:pPr>
      <w:r>
        <w:rPr>
          <w:rFonts w:hint="eastAsia"/>
        </w:rPr>
        <w:t>4、如果未按要求密封和标记，采购人对误投或提前启封概不负责。</w:t>
      </w:r>
    </w:p>
    <w:p w14:paraId="4EA00816">
      <w:pPr>
        <w:pStyle w:val="9"/>
      </w:pPr>
      <w:r>
        <w:rPr>
          <w:rFonts w:hint="eastAsia"/>
        </w:rPr>
        <w:t>5、★供应商必须根据采购项目的技术参数按顺序逐条响应，佐证材料标注页码，否则可作废处理。</w:t>
      </w:r>
      <w:r>
        <w:t xml:space="preserve">        </w:t>
      </w:r>
    </w:p>
    <w:p w14:paraId="3F0AD8CF">
      <w:pPr>
        <w:pStyle w:val="9"/>
        <w:rPr>
          <w:rFonts w:ascii="微软雅黑" w:hAnsi="微软雅黑" w:eastAsia="微软雅黑"/>
        </w:rPr>
      </w:pPr>
    </w:p>
    <w:p w14:paraId="4C54D355">
      <w:pPr>
        <w:pStyle w:val="9"/>
        <w:rPr>
          <w:rFonts w:ascii="微软雅黑" w:hAnsi="微软雅黑" w:eastAsia="微软雅黑"/>
        </w:rPr>
      </w:pPr>
    </w:p>
    <w:p w14:paraId="1ACAE2C9">
      <w:pPr>
        <w:pStyle w:val="9"/>
        <w:rPr>
          <w:rFonts w:ascii="微软雅黑" w:hAnsi="微软雅黑" w:eastAsia="微软雅黑"/>
        </w:rPr>
      </w:pPr>
    </w:p>
    <w:p w14:paraId="3B0E8612">
      <w:pPr>
        <w:pStyle w:val="9"/>
        <w:rPr>
          <w:rFonts w:ascii="微软雅黑" w:hAnsi="微软雅黑" w:eastAsia="微软雅黑"/>
        </w:rPr>
      </w:pPr>
    </w:p>
    <w:p w14:paraId="274C0A8E">
      <w:pPr>
        <w:pStyle w:val="9"/>
        <w:rPr>
          <w:rFonts w:ascii="微软雅黑" w:hAnsi="微软雅黑" w:eastAsia="微软雅黑"/>
        </w:rPr>
      </w:pPr>
    </w:p>
    <w:p w14:paraId="08E592F7">
      <w:pPr>
        <w:pStyle w:val="9"/>
        <w:rPr>
          <w:rFonts w:ascii="微软雅黑" w:hAnsi="微软雅黑" w:eastAsia="微软雅黑"/>
        </w:rPr>
      </w:pPr>
    </w:p>
    <w:p w14:paraId="368DF5D7">
      <w:pPr>
        <w:pStyle w:val="9"/>
        <w:rPr>
          <w:rFonts w:ascii="微软雅黑" w:hAnsi="微软雅黑" w:eastAsia="微软雅黑"/>
        </w:rPr>
      </w:pPr>
    </w:p>
    <w:p w14:paraId="7A357160">
      <w:pPr>
        <w:rPr>
          <w:rFonts w:hint="eastAsia" w:asciiTheme="minorEastAsia" w:hAnsiTheme="minorEastAsia" w:eastAsiaTheme="minorEastAsia" w:cstheme="minorEastAsia"/>
          <w:sz w:val="21"/>
          <w:szCs w:val="21"/>
          <w:lang w:eastAsia="zh-CN"/>
        </w:rPr>
      </w:pPr>
    </w:p>
    <w:p w14:paraId="242AC5B9">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表1  报价函</w:t>
      </w:r>
    </w:p>
    <w:p w14:paraId="45A84DE0">
      <w:pPr>
        <w:jc w:val="center"/>
        <w:rPr>
          <w:rFonts w:hint="eastAsia" w:asciiTheme="minorEastAsia" w:hAnsiTheme="minorEastAsia" w:eastAsiaTheme="minorEastAsia" w:cstheme="minorEastAsia"/>
          <w:b/>
          <w:bCs/>
          <w:sz w:val="32"/>
          <w:szCs w:val="32"/>
          <w:lang w:eastAsia="zh-CN"/>
        </w:rPr>
      </w:pPr>
    </w:p>
    <w:p w14:paraId="3677603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致：中山市中山市古镇人民医院</w:t>
      </w:r>
    </w:p>
    <w:p w14:paraId="4A004A77">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根据贵方的</w:t>
      </w:r>
      <w:r>
        <w:rPr>
          <w:rFonts w:hint="eastAsia" w:ascii="宋体" w:hAnsi="宋体"/>
          <w:szCs w:val="21"/>
          <w:highlight w:val="none"/>
          <w:lang w:eastAsia="zh-CN"/>
        </w:rPr>
        <w:t>中山市古镇人民医院旧院区机房设备搬迁到新院备用机房项目</w:t>
      </w:r>
      <w:r>
        <w:rPr>
          <w:rFonts w:hint="eastAsia" w:asciiTheme="minorEastAsia" w:hAnsiTheme="minorEastAsia" w:eastAsiaTheme="minorEastAsia" w:cstheme="minorEastAsia"/>
          <w:sz w:val="21"/>
          <w:szCs w:val="21"/>
          <w:lang w:eastAsia="zh-CN"/>
        </w:rPr>
        <w:t>进行采购的询价邀请函，签字代表</w:t>
      </w:r>
      <w:r>
        <w:rPr>
          <w:rFonts w:hint="eastAsia" w:asciiTheme="minorEastAsia" w:hAnsiTheme="minorEastAsia" w:eastAsiaTheme="minorEastAsia" w:cstheme="minorEastAsia"/>
          <w:sz w:val="21"/>
          <w:szCs w:val="21"/>
          <w:u w:val="single"/>
          <w:lang w:eastAsia="zh-CN"/>
        </w:rPr>
        <w:t xml:space="preserve">         （姓名、职务）       </w:t>
      </w:r>
      <w:r>
        <w:rPr>
          <w:rFonts w:hint="eastAsia" w:asciiTheme="minorEastAsia" w:hAnsiTheme="minorEastAsia" w:eastAsiaTheme="minorEastAsia" w:cstheme="minorEastAsia"/>
          <w:sz w:val="21"/>
          <w:szCs w:val="21"/>
          <w:u w:val="none"/>
          <w:lang w:eastAsia="zh-CN"/>
        </w:rPr>
        <w:t xml:space="preserve">  </w:t>
      </w:r>
      <w:r>
        <w:rPr>
          <w:rFonts w:hint="eastAsia" w:asciiTheme="minorEastAsia" w:hAnsiTheme="minorEastAsia" w:eastAsiaTheme="minorEastAsia" w:cstheme="minorEastAsia"/>
          <w:sz w:val="21"/>
          <w:szCs w:val="21"/>
          <w:lang w:eastAsia="zh-CN"/>
        </w:rPr>
        <w:t xml:space="preserve">代表报价人 </w:t>
      </w:r>
      <w:r>
        <w:rPr>
          <w:rFonts w:hint="eastAsia" w:asciiTheme="minorEastAsia" w:hAnsiTheme="minorEastAsia" w:eastAsiaTheme="minorEastAsia" w:cstheme="minorEastAsia"/>
          <w:sz w:val="21"/>
          <w:szCs w:val="21"/>
          <w:u w:val="single"/>
          <w:lang w:eastAsia="zh-CN"/>
        </w:rPr>
        <w:t xml:space="preserve">   （报价</w:t>
      </w:r>
      <w:r>
        <w:rPr>
          <w:rFonts w:hint="eastAsia" w:asciiTheme="minorEastAsia" w:hAnsiTheme="minorEastAsia" w:cstheme="minorEastAsia"/>
          <w:sz w:val="21"/>
          <w:szCs w:val="21"/>
          <w:u w:val="single"/>
          <w:lang w:eastAsia="zh-CN"/>
        </w:rPr>
        <w:t>供应商</w:t>
      </w:r>
      <w:r>
        <w:rPr>
          <w:rFonts w:hint="eastAsia" w:asciiTheme="minorEastAsia" w:hAnsiTheme="minorEastAsia" w:eastAsiaTheme="minorEastAsia" w:cstheme="minorEastAsia"/>
          <w:sz w:val="21"/>
          <w:szCs w:val="21"/>
          <w:u w:val="single"/>
          <w:lang w:eastAsia="zh-CN"/>
        </w:rPr>
        <w:t xml:space="preserve">名称）      </w:t>
      </w:r>
      <w:r>
        <w:rPr>
          <w:rFonts w:hint="eastAsia" w:asciiTheme="minorEastAsia" w:hAnsiTheme="minorEastAsia" w:eastAsiaTheme="minorEastAsia" w:cstheme="minorEastAsia"/>
          <w:sz w:val="21"/>
          <w:szCs w:val="21"/>
          <w:lang w:eastAsia="zh-CN"/>
        </w:rPr>
        <w:t xml:space="preserve"> 参加报价，并提交报价文件。</w:t>
      </w:r>
    </w:p>
    <w:p w14:paraId="49A4A89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据此函，本人宣布同意如下：</w:t>
      </w:r>
    </w:p>
    <w:p w14:paraId="03E19C10">
      <w:pPr>
        <w:numPr>
          <w:ilvl w:val="0"/>
          <w:numId w:val="0"/>
        </w:numPr>
        <w:spacing w:line="360" w:lineRule="auto"/>
        <w:rPr>
          <w:rFonts w:hint="eastAsia" w:ascii="Arial" w:hAnsi="Arial" w:cs="Arial"/>
        </w:rPr>
      </w:pPr>
      <w:r>
        <w:rPr>
          <w:rFonts w:hint="eastAsia" w:ascii="Arial" w:hAnsi="Arial" w:cs="Arial"/>
        </w:rPr>
        <w:t>所附“报价一览表”规定的应提供和交付的货物、服务和工程报价</w:t>
      </w:r>
      <w:r>
        <w:rPr>
          <w:rFonts w:hint="eastAsia" w:ascii="Arial" w:hAnsi="Arial" w:cs="Arial"/>
          <w:b/>
          <w:bCs/>
        </w:rPr>
        <w:t>总价</w:t>
      </w:r>
      <w:r>
        <w:rPr>
          <w:rFonts w:hint="eastAsia" w:ascii="Arial" w:hAnsi="Arial" w:cs="Arial"/>
        </w:rPr>
        <w:t>为</w:t>
      </w:r>
      <w:r>
        <w:rPr>
          <w:rFonts w:hint="eastAsia" w:ascii="宋体" w:hAnsi="宋体" w:cs="Arial"/>
        </w:rPr>
        <w:t>（人民币、含税）</w:t>
      </w:r>
      <w:r>
        <w:rPr>
          <w:rFonts w:hint="eastAsia" w:ascii="Arial" w:hAnsi="Arial" w:cs="Arial"/>
        </w:rPr>
        <w:t>：</w:t>
      </w:r>
    </w:p>
    <w:p w14:paraId="2F800AC5">
      <w:pPr>
        <w:spacing w:before="120" w:beforeLines="50" w:line="360" w:lineRule="auto"/>
        <w:ind w:left="426"/>
        <w:rPr>
          <w:rFonts w:hint="eastAsia" w:ascii="宋体" w:hAnsi="宋体" w:cs="Arial"/>
        </w:rPr>
      </w:pPr>
      <w:r>
        <w:rPr>
          <w:rFonts w:hint="eastAsia" w:ascii="宋体" w:hAnsi="宋体" w:cs="Arial"/>
          <w:u w:val="single"/>
        </w:rPr>
        <w:t xml:space="preserve">                             </w:t>
      </w:r>
      <w:r>
        <w:rPr>
          <w:rFonts w:hint="eastAsia" w:ascii="宋体" w:hAnsi="宋体" w:cs="Arial"/>
        </w:rPr>
        <w:t>（大写），</w:t>
      </w:r>
      <w:r>
        <w:rPr>
          <w:rFonts w:hint="eastAsia" w:ascii="宋体" w:hAnsi="宋体" w:cs="Arial"/>
          <w:u w:val="single"/>
        </w:rPr>
        <w:t xml:space="preserve">                             </w:t>
      </w:r>
      <w:r>
        <w:rPr>
          <w:rFonts w:hint="eastAsia" w:ascii="宋体" w:hAnsi="宋体" w:cs="Arial"/>
          <w:u w:val="none"/>
        </w:rPr>
        <w:t>（</w:t>
      </w:r>
      <w:r>
        <w:rPr>
          <w:rFonts w:hint="eastAsia" w:ascii="宋体" w:hAnsi="宋体" w:cs="Arial"/>
        </w:rPr>
        <w:t>小写）。</w:t>
      </w:r>
    </w:p>
    <w:p w14:paraId="4DEFC529">
      <w:pPr>
        <w:spacing w:line="360" w:lineRule="auto"/>
        <w:ind w:firstLine="420"/>
        <w:rPr>
          <w:rFonts w:hint="eastAsia" w:ascii="宋体" w:hAnsi="宋体" w:cs="Arial"/>
        </w:rPr>
      </w:pPr>
    </w:p>
    <w:p w14:paraId="0B074A9E">
      <w:pPr>
        <w:spacing w:line="360" w:lineRule="auto"/>
        <w:rPr>
          <w:rFonts w:ascii="宋体" w:hAnsi="宋体" w:cs="Arial"/>
        </w:rPr>
      </w:pPr>
      <w:r>
        <w:rPr>
          <w:rFonts w:hint="eastAsia" w:ascii="宋体" w:hAnsi="宋体" w:cs="Arial"/>
        </w:rPr>
        <w:t>报价人代表姓名、职务（印刷体）：</w:t>
      </w:r>
    </w:p>
    <w:p w14:paraId="219F5545">
      <w:pPr>
        <w:spacing w:line="360" w:lineRule="auto"/>
        <w:rPr>
          <w:rFonts w:ascii="宋体" w:hAnsi="宋体" w:cs="Arial"/>
        </w:rPr>
      </w:pPr>
      <w:r>
        <w:rPr>
          <w:rFonts w:hint="eastAsia" w:ascii="宋体" w:hAnsi="宋体" w:cs="Arial"/>
        </w:rPr>
        <w:t>报价人名称：（加盖公章）</w:t>
      </w:r>
      <w:r>
        <w:rPr>
          <w:rFonts w:ascii="宋体" w:hAnsi="宋体" w:cs="Arial"/>
        </w:rPr>
        <w:tab/>
      </w:r>
      <w:r>
        <w:rPr>
          <w:rFonts w:ascii="宋体" w:hAnsi="宋体" w:cs="Arial"/>
        </w:rPr>
        <w:tab/>
      </w:r>
      <w:r>
        <w:rPr>
          <w:rFonts w:ascii="宋体" w:hAnsi="宋体" w:cs="Arial"/>
        </w:rPr>
        <w:tab/>
      </w:r>
      <w:r>
        <w:rPr>
          <w:rFonts w:ascii="宋体" w:hAnsi="宋体" w:cs="Arial"/>
        </w:rPr>
        <w:tab/>
      </w:r>
      <w:r>
        <w:rPr>
          <w:rFonts w:ascii="宋体" w:hAnsi="宋体" w:cs="Arial"/>
        </w:rPr>
        <w:tab/>
      </w:r>
      <w:r>
        <w:rPr>
          <w:rFonts w:ascii="宋体" w:hAnsi="宋体" w:cs="Arial"/>
        </w:rPr>
        <w:tab/>
      </w:r>
    </w:p>
    <w:p w14:paraId="43E2C520">
      <w:pPr>
        <w:spacing w:line="360" w:lineRule="auto"/>
        <w:rPr>
          <w:rFonts w:ascii="宋体" w:hAnsi="宋体" w:cs="Arial"/>
        </w:rPr>
      </w:pPr>
      <w:r>
        <w:rPr>
          <w:rFonts w:hint="eastAsia" w:ascii="宋体" w:hAnsi="宋体" w:cs="Arial"/>
        </w:rPr>
        <w:t>法定代表人签字（或其委托的全权代表人）：</w:t>
      </w:r>
      <w:r>
        <w:rPr>
          <w:rFonts w:ascii="宋体" w:hAnsi="宋体" w:cs="Arial"/>
        </w:rPr>
        <w:t xml:space="preserve">                    </w:t>
      </w:r>
    </w:p>
    <w:p w14:paraId="41C40C14">
      <w:pPr>
        <w:spacing w:line="360" w:lineRule="auto"/>
        <w:rPr>
          <w:rFonts w:hint="eastAsia" w:ascii="宋体" w:hAnsi="宋体"/>
        </w:rPr>
      </w:pPr>
      <w:r>
        <w:rPr>
          <w:rFonts w:hint="eastAsia" w:ascii="宋体" w:hAnsi="宋体"/>
        </w:rPr>
        <w:t>注：法定代表人委托全权代表人，需附</w:t>
      </w:r>
      <w:r>
        <w:rPr>
          <w:rFonts w:hint="eastAsia"/>
        </w:rPr>
        <w:t>法定代表人授权书</w:t>
      </w:r>
      <w:r>
        <w:rPr>
          <w:rFonts w:hint="eastAsia" w:ascii="宋体" w:hAnsi="宋体"/>
        </w:rPr>
        <w:t>。</w:t>
      </w:r>
    </w:p>
    <w:p w14:paraId="12C872C1">
      <w:pPr>
        <w:rPr>
          <w:rFonts w:hint="eastAsia" w:asciiTheme="minorEastAsia" w:hAnsiTheme="minorEastAsia" w:eastAsiaTheme="minorEastAsia" w:cstheme="minorEastAsia"/>
          <w:sz w:val="21"/>
          <w:szCs w:val="21"/>
          <w:lang w:eastAsia="zh-CN"/>
        </w:rPr>
      </w:pPr>
    </w:p>
    <w:p w14:paraId="01F3371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w:t>
      </w:r>
    </w:p>
    <w:p w14:paraId="098EEE06">
      <w:pPr>
        <w:rPr>
          <w:rFonts w:hint="eastAsia" w:asciiTheme="minorEastAsia" w:hAnsiTheme="minorEastAsia" w:eastAsiaTheme="minorEastAsia" w:cstheme="minorEastAsia"/>
          <w:sz w:val="21"/>
          <w:szCs w:val="21"/>
          <w:lang w:eastAsia="zh-CN"/>
        </w:rPr>
      </w:pPr>
    </w:p>
    <w:p w14:paraId="65773928">
      <w:pPr>
        <w:rPr>
          <w:rFonts w:hint="eastAsia" w:asciiTheme="minorEastAsia" w:hAnsiTheme="minorEastAsia" w:eastAsiaTheme="minorEastAsia" w:cstheme="minorEastAsia"/>
          <w:sz w:val="21"/>
          <w:szCs w:val="21"/>
          <w:lang w:eastAsia="zh-CN"/>
        </w:rPr>
      </w:pPr>
    </w:p>
    <w:p w14:paraId="2893E39B">
      <w:pPr>
        <w:ind w:firstLine="5250" w:firstLineChars="25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年   月    日</w:t>
      </w:r>
    </w:p>
    <w:p w14:paraId="7230AADA">
      <w:pPr>
        <w:rPr>
          <w:rFonts w:hint="eastAsia" w:asciiTheme="minorEastAsia" w:hAnsiTheme="minorEastAsia" w:eastAsiaTheme="minorEastAsia" w:cstheme="minorEastAsia"/>
          <w:sz w:val="21"/>
          <w:szCs w:val="21"/>
          <w:lang w:eastAsia="zh-CN"/>
        </w:rPr>
      </w:pPr>
    </w:p>
    <w:p w14:paraId="6237B1FE">
      <w:pPr>
        <w:rPr>
          <w:rFonts w:hint="eastAsia" w:asciiTheme="minorEastAsia" w:hAnsiTheme="minorEastAsia" w:eastAsiaTheme="minorEastAsia" w:cstheme="minorEastAsia"/>
          <w:sz w:val="21"/>
          <w:szCs w:val="21"/>
          <w:lang w:eastAsia="zh-CN"/>
        </w:rPr>
      </w:pPr>
    </w:p>
    <w:p w14:paraId="28EAF817">
      <w:pPr>
        <w:rPr>
          <w:rFonts w:hint="eastAsia" w:asciiTheme="minorEastAsia" w:hAnsiTheme="minorEastAsia" w:eastAsiaTheme="minorEastAsia" w:cstheme="minorEastAsia"/>
          <w:sz w:val="21"/>
          <w:szCs w:val="21"/>
          <w:lang w:eastAsia="zh-CN"/>
        </w:rPr>
      </w:pPr>
    </w:p>
    <w:p w14:paraId="23057F9A">
      <w:pPr>
        <w:rPr>
          <w:rFonts w:hint="eastAsia" w:asciiTheme="minorEastAsia" w:hAnsiTheme="minorEastAsia" w:eastAsiaTheme="minorEastAsia" w:cstheme="minorEastAsia"/>
          <w:sz w:val="21"/>
          <w:szCs w:val="21"/>
          <w:lang w:eastAsia="zh-CN"/>
        </w:rPr>
      </w:pPr>
    </w:p>
    <w:p w14:paraId="4B687405">
      <w:pPr>
        <w:rPr>
          <w:rFonts w:hint="eastAsia" w:asciiTheme="minorEastAsia" w:hAnsiTheme="minorEastAsia" w:eastAsiaTheme="minorEastAsia" w:cstheme="minorEastAsia"/>
          <w:sz w:val="21"/>
          <w:szCs w:val="21"/>
          <w:lang w:eastAsia="zh-CN"/>
        </w:rPr>
      </w:pPr>
    </w:p>
    <w:p w14:paraId="310674BC">
      <w:pPr>
        <w:rPr>
          <w:rFonts w:hint="eastAsia" w:asciiTheme="minorEastAsia" w:hAnsiTheme="minorEastAsia" w:eastAsiaTheme="minorEastAsia" w:cstheme="minorEastAsia"/>
          <w:sz w:val="21"/>
          <w:szCs w:val="21"/>
          <w:lang w:eastAsia="zh-CN"/>
        </w:rPr>
      </w:pPr>
    </w:p>
    <w:p w14:paraId="683DEF42">
      <w:pPr>
        <w:rPr>
          <w:rFonts w:hint="eastAsia" w:asciiTheme="minorEastAsia" w:hAnsiTheme="minorEastAsia" w:eastAsiaTheme="minorEastAsia" w:cstheme="minorEastAsia"/>
          <w:sz w:val="21"/>
          <w:szCs w:val="21"/>
          <w:lang w:eastAsia="zh-CN"/>
        </w:rPr>
      </w:pPr>
    </w:p>
    <w:p w14:paraId="3CF2B5ED">
      <w:pPr>
        <w:rPr>
          <w:rFonts w:hint="eastAsia" w:asciiTheme="minorEastAsia" w:hAnsiTheme="minorEastAsia" w:eastAsiaTheme="minorEastAsia" w:cstheme="minorEastAsia"/>
          <w:sz w:val="21"/>
          <w:szCs w:val="21"/>
          <w:lang w:eastAsia="zh-CN"/>
        </w:rPr>
      </w:pPr>
    </w:p>
    <w:p w14:paraId="42912CDD">
      <w:pPr>
        <w:rPr>
          <w:rFonts w:hint="eastAsia" w:asciiTheme="minorEastAsia" w:hAnsiTheme="minorEastAsia" w:eastAsiaTheme="minorEastAsia" w:cstheme="minorEastAsia"/>
          <w:sz w:val="21"/>
          <w:szCs w:val="21"/>
          <w:lang w:eastAsia="zh-CN"/>
        </w:rPr>
      </w:pPr>
    </w:p>
    <w:p w14:paraId="08A1391C">
      <w:pPr>
        <w:rPr>
          <w:rFonts w:hint="eastAsia" w:asciiTheme="minorEastAsia" w:hAnsiTheme="minorEastAsia" w:eastAsiaTheme="minorEastAsia" w:cstheme="minorEastAsia"/>
          <w:sz w:val="21"/>
          <w:szCs w:val="21"/>
          <w:lang w:eastAsia="zh-CN"/>
        </w:rPr>
      </w:pPr>
    </w:p>
    <w:p w14:paraId="1A383ADA">
      <w:pPr>
        <w:rPr>
          <w:rFonts w:hint="eastAsia" w:asciiTheme="minorEastAsia" w:hAnsiTheme="minorEastAsia" w:eastAsiaTheme="minorEastAsia" w:cstheme="minorEastAsia"/>
          <w:sz w:val="21"/>
          <w:szCs w:val="21"/>
          <w:lang w:eastAsia="zh-CN"/>
        </w:rPr>
      </w:pPr>
    </w:p>
    <w:p w14:paraId="3355C912">
      <w:pPr>
        <w:rPr>
          <w:rFonts w:hint="eastAsia" w:asciiTheme="minorEastAsia" w:hAnsiTheme="minorEastAsia" w:eastAsiaTheme="minorEastAsia" w:cstheme="minorEastAsia"/>
          <w:sz w:val="21"/>
          <w:szCs w:val="21"/>
          <w:lang w:eastAsia="zh-CN"/>
        </w:rPr>
      </w:pPr>
    </w:p>
    <w:p w14:paraId="686FC26D">
      <w:pPr>
        <w:rPr>
          <w:rFonts w:hint="eastAsia" w:asciiTheme="minorEastAsia" w:hAnsiTheme="minorEastAsia" w:eastAsiaTheme="minorEastAsia" w:cstheme="minorEastAsia"/>
          <w:sz w:val="21"/>
          <w:szCs w:val="21"/>
          <w:lang w:eastAsia="zh-CN"/>
        </w:rPr>
      </w:pPr>
    </w:p>
    <w:p w14:paraId="5766EB82">
      <w:pPr>
        <w:rPr>
          <w:rFonts w:hint="eastAsia" w:asciiTheme="minorEastAsia" w:hAnsiTheme="minorEastAsia" w:eastAsiaTheme="minorEastAsia" w:cstheme="minorEastAsia"/>
          <w:sz w:val="21"/>
          <w:szCs w:val="21"/>
          <w:lang w:eastAsia="zh-CN"/>
        </w:rPr>
      </w:pPr>
    </w:p>
    <w:p w14:paraId="56C42B12">
      <w:pPr>
        <w:rPr>
          <w:rFonts w:hint="eastAsia" w:asciiTheme="minorEastAsia" w:hAnsiTheme="minorEastAsia" w:eastAsiaTheme="minorEastAsia" w:cstheme="minorEastAsia"/>
          <w:sz w:val="21"/>
          <w:szCs w:val="21"/>
          <w:lang w:eastAsia="zh-CN"/>
        </w:rPr>
      </w:pPr>
    </w:p>
    <w:p w14:paraId="3FA36B9F">
      <w:pPr>
        <w:rPr>
          <w:rFonts w:hint="eastAsia" w:asciiTheme="minorEastAsia" w:hAnsiTheme="minorEastAsia" w:eastAsiaTheme="minorEastAsia" w:cstheme="minorEastAsia"/>
          <w:sz w:val="21"/>
          <w:szCs w:val="21"/>
          <w:lang w:eastAsia="zh-CN"/>
        </w:rPr>
      </w:pPr>
    </w:p>
    <w:p w14:paraId="78A391D5">
      <w:pPr>
        <w:rPr>
          <w:rFonts w:hint="eastAsia" w:asciiTheme="minorEastAsia" w:hAnsiTheme="minorEastAsia" w:eastAsiaTheme="minorEastAsia" w:cstheme="minorEastAsia"/>
          <w:sz w:val="21"/>
          <w:szCs w:val="21"/>
          <w:lang w:eastAsia="zh-CN"/>
        </w:rPr>
      </w:pPr>
    </w:p>
    <w:p w14:paraId="34A5E696">
      <w:pPr>
        <w:rPr>
          <w:rFonts w:hint="eastAsia" w:asciiTheme="minorEastAsia" w:hAnsiTheme="minorEastAsia" w:eastAsiaTheme="minorEastAsia" w:cstheme="minorEastAsia"/>
          <w:sz w:val="21"/>
          <w:szCs w:val="21"/>
          <w:lang w:eastAsia="zh-CN"/>
        </w:rPr>
      </w:pPr>
    </w:p>
    <w:p w14:paraId="0D90535B">
      <w:pPr>
        <w:rPr>
          <w:rFonts w:hint="eastAsia" w:asciiTheme="minorEastAsia" w:hAnsiTheme="minorEastAsia" w:eastAsiaTheme="minorEastAsia" w:cstheme="minorEastAsia"/>
          <w:sz w:val="21"/>
          <w:szCs w:val="21"/>
          <w:lang w:eastAsia="zh-CN"/>
        </w:rPr>
      </w:pPr>
    </w:p>
    <w:p w14:paraId="75D57226">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表2  法定代表人授权委托书</w:t>
      </w:r>
    </w:p>
    <w:p w14:paraId="731673DA">
      <w:pPr>
        <w:rPr>
          <w:rFonts w:hint="eastAsia" w:asciiTheme="minorEastAsia" w:hAnsiTheme="minorEastAsia" w:eastAsiaTheme="minorEastAsia" w:cstheme="minorEastAsia"/>
          <w:sz w:val="21"/>
          <w:szCs w:val="21"/>
          <w:lang w:eastAsia="zh-CN"/>
        </w:rPr>
      </w:pPr>
    </w:p>
    <w:p w14:paraId="49FD743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致：中山市古镇人民医院：</w:t>
      </w:r>
    </w:p>
    <w:p w14:paraId="44900A11">
      <w:pPr>
        <w:rPr>
          <w:rFonts w:hint="eastAsia" w:asciiTheme="minorEastAsia" w:hAnsiTheme="minorEastAsia" w:eastAsiaTheme="minorEastAsia" w:cstheme="minorEastAsia"/>
          <w:sz w:val="21"/>
          <w:szCs w:val="21"/>
          <w:lang w:eastAsia="zh-CN"/>
        </w:rPr>
      </w:pPr>
    </w:p>
    <w:p w14:paraId="09E236F2">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兹授权以下同志（见身份证复印件），为我方参与</w:t>
      </w:r>
      <w:r>
        <w:rPr>
          <w:rFonts w:hint="eastAsia" w:asciiTheme="minorEastAsia" w:hAnsiTheme="minorEastAsia" w:eastAsiaTheme="minorEastAsia" w:cstheme="minorEastAsia"/>
          <w:b/>
          <w:bCs/>
          <w:sz w:val="21"/>
          <w:szCs w:val="21"/>
          <w:u w:val="single"/>
          <w:lang w:eastAsia="zh-CN"/>
        </w:rPr>
        <w:t>（项目名称）</w:t>
      </w:r>
      <w:r>
        <w:rPr>
          <w:rFonts w:hint="eastAsia" w:asciiTheme="minorEastAsia" w:hAnsiTheme="minorEastAsia" w:eastAsiaTheme="minorEastAsia" w:cstheme="minorEastAsia"/>
          <w:sz w:val="21"/>
          <w:szCs w:val="21"/>
          <w:lang w:eastAsia="zh-CN"/>
        </w:rPr>
        <w:t>采购项目事务代理人，其权限是：</w:t>
      </w:r>
      <w:r>
        <w:rPr>
          <w:rFonts w:hint="eastAsia" w:asciiTheme="minorEastAsia" w:hAnsiTheme="minorEastAsia" w:eastAsiaTheme="minorEastAsia" w:cstheme="minorEastAsia"/>
          <w:sz w:val="21"/>
          <w:szCs w:val="21"/>
          <w:u w:val="single"/>
          <w:lang w:eastAsia="zh-CN"/>
        </w:rPr>
        <w:t>全权代表本公司参与上述采购项目的采购工作，负责提供与签署确认一切文书资料，以及向贵方递交的任何补充承诺</w:t>
      </w:r>
      <w:r>
        <w:rPr>
          <w:rFonts w:hint="eastAsia" w:asciiTheme="minorEastAsia" w:hAnsiTheme="minorEastAsia" w:eastAsiaTheme="minorEastAsia" w:cstheme="minorEastAsia"/>
          <w:sz w:val="21"/>
          <w:szCs w:val="21"/>
          <w:lang w:eastAsia="zh-CN"/>
        </w:rPr>
        <w:t xml:space="preserve"> 。</w:t>
      </w:r>
    </w:p>
    <w:p w14:paraId="45F98E3F">
      <w:pPr>
        <w:rPr>
          <w:rFonts w:hint="eastAsia" w:asciiTheme="minorEastAsia" w:hAnsiTheme="minorEastAsia" w:eastAsiaTheme="minorEastAsia" w:cstheme="minorEastAsia"/>
          <w:sz w:val="21"/>
          <w:szCs w:val="21"/>
          <w:lang w:eastAsia="zh-CN"/>
        </w:rPr>
      </w:pPr>
    </w:p>
    <w:p w14:paraId="5FC70C74">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授权</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                            （盖章）     法定代表人：              （签名或盖私章）</w:t>
      </w:r>
    </w:p>
    <w:p w14:paraId="7CF97716">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有效期限：至        年       月      日       签发日期：</w:t>
      </w:r>
    </w:p>
    <w:p w14:paraId="15B9E5A3">
      <w:pPr>
        <w:rPr>
          <w:rFonts w:hint="eastAsia" w:asciiTheme="minorEastAsia" w:hAnsiTheme="minorEastAsia" w:eastAsiaTheme="minorEastAsia" w:cstheme="minorEastAsia"/>
          <w:sz w:val="21"/>
          <w:szCs w:val="21"/>
          <w:lang w:eastAsia="zh-CN"/>
        </w:rPr>
      </w:pPr>
    </w:p>
    <w:p w14:paraId="0296901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附：代理人姓名：         性别：                   年龄：        身份证号码：</w:t>
      </w:r>
    </w:p>
    <w:p w14:paraId="6F1063D3">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联系电话：</w:t>
      </w:r>
    </w:p>
    <w:p w14:paraId="331A2D5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有效通讯电子邮箱：</w:t>
      </w:r>
    </w:p>
    <w:p w14:paraId="36D184E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营业执照号码：                         </w:t>
      </w:r>
    </w:p>
    <w:p w14:paraId="542E955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经济性质：</w:t>
      </w:r>
    </w:p>
    <w:p w14:paraId="43205739">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说明：</w:t>
      </w:r>
    </w:p>
    <w:p w14:paraId="4360C1B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1.法定代表人为企业事业</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、国家机关、社会团体的主要行政负责人。</w:t>
      </w:r>
    </w:p>
    <w:p w14:paraId="56699BEF">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2.内容必须填写真实、清楚、涂改无效，不得转让、买卖。</w:t>
      </w:r>
    </w:p>
    <w:p w14:paraId="2E1FC407">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3.将此证明书提交对方作为合同附件。</w:t>
      </w:r>
    </w:p>
    <w:p w14:paraId="15B6B780">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4.授权权限：全权代表本公司参与上述采购项目的投标，负责提供与签署确认一切文书资料，以及向贵方递交的任何补充承诺。</w:t>
      </w:r>
    </w:p>
    <w:p w14:paraId="71655E03">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5.有效期限：与本公司响应文件中标注的投标有效期相同，自本</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盖公章之日起生效。</w:t>
      </w:r>
    </w:p>
    <w:p w14:paraId="6466F000">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6.投标签字代表为法定代表人，则本表不适用。</w:t>
      </w:r>
    </w:p>
    <w:p w14:paraId="6BEA8506">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7.身份证复印件（或扫描件）必须清晰可见。</w:t>
      </w:r>
    </w:p>
    <w:p w14:paraId="6D7AD191">
      <w:pPr>
        <w:rPr>
          <w:rFonts w:hint="eastAsia" w:asciiTheme="minorEastAsia" w:hAnsiTheme="minorEastAsia" w:eastAsiaTheme="minorEastAsia" w:cstheme="minorEastAsia"/>
          <w:sz w:val="21"/>
          <w:szCs w:val="21"/>
          <w:lang w:eastAsia="zh-CN"/>
        </w:rPr>
      </w:pPr>
    </w:p>
    <w:p w14:paraId="53854D75">
      <w:pPr>
        <w:rPr>
          <w:rFonts w:hint="eastAsia" w:asciiTheme="minorEastAsia" w:hAnsiTheme="minorEastAsia" w:eastAsiaTheme="minorEastAsia" w:cstheme="minorEastAsia"/>
          <w:sz w:val="21"/>
          <w:szCs w:val="21"/>
          <w:lang w:eastAsia="zh-CN"/>
        </w:rPr>
      </w:pPr>
    </w:p>
    <w:p w14:paraId="0FA07DDE">
      <w:pPr>
        <w:rPr>
          <w:rFonts w:hint="eastAsia" w:asciiTheme="minorEastAsia" w:hAnsiTheme="minorEastAsia" w:eastAsiaTheme="minorEastAsia" w:cstheme="minorEastAsia"/>
          <w:sz w:val="21"/>
          <w:szCs w:val="21"/>
          <w:lang w:eastAsia="zh-CN"/>
        </w:rPr>
      </w:pPr>
    </w:p>
    <w:p w14:paraId="21C5BBEB">
      <w:pPr>
        <w:rPr>
          <w:rFonts w:hint="eastAsia" w:asciiTheme="minorEastAsia" w:hAnsiTheme="minorEastAsia" w:eastAsiaTheme="minorEastAsia" w:cstheme="minorEastAsia"/>
          <w:sz w:val="21"/>
          <w:szCs w:val="21"/>
          <w:lang w:eastAsia="zh-CN"/>
        </w:rPr>
      </w:pPr>
    </w:p>
    <w:p w14:paraId="4EDF9592">
      <w:pPr>
        <w:rPr>
          <w:rFonts w:hint="eastAsia" w:ascii="汉仪中黑简" w:hAnsi="汉仪中黑简" w:eastAsia="汉仪中黑简" w:cs="汉仪中黑简"/>
          <w:sz w:val="21"/>
          <w:szCs w:val="21"/>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3122295</wp:posOffset>
                </wp:positionH>
                <wp:positionV relativeFrom="paragraph">
                  <wp:posOffset>172085</wp:posOffset>
                </wp:positionV>
                <wp:extent cx="2266950" cy="1584325"/>
                <wp:effectExtent l="6350" t="6350" r="12700" b="9525"/>
                <wp:wrapNone/>
                <wp:docPr id="11" name="圆角矩形 11"/>
                <wp:cNvGraphicFramePr/>
                <a:graphic xmlns:a="http://schemas.openxmlformats.org/drawingml/2006/main">
                  <a:graphicData uri="http://schemas.microsoft.com/office/word/2010/wordprocessingShape">
                    <wps:wsp>
                      <wps:cNvSpPr/>
                      <wps:spPr>
                        <a:xfrm>
                          <a:off x="0" y="0"/>
                          <a:ext cx="2266950" cy="1584325"/>
                        </a:xfrm>
                        <a:prstGeom prst="roundRect">
                          <a:avLst/>
                        </a:prstGeom>
                      </wps:spPr>
                      <wps:style>
                        <a:lnRef idx="2">
                          <a:prstClr val="black"/>
                        </a:lnRef>
                        <a:fillRef idx="0">
                          <a:srgbClr val="FFFFFF"/>
                        </a:fillRef>
                        <a:effectRef idx="0">
                          <a:srgbClr val="FFFFFF"/>
                        </a:effectRef>
                        <a:fontRef idx="minor">
                          <a:schemeClr val="tx1"/>
                        </a:fontRef>
                      </wps:style>
                      <wps:txbx>
                        <w:txbxContent>
                          <w:p w14:paraId="1D121CF7">
                            <w:pPr>
                              <w:jc w:val="center"/>
                              <w:rPr>
                                <w:color w:val="000000" w:themeColor="text1"/>
                                <w14:textFill>
                                  <w14:solidFill>
                                    <w14:schemeClr w14:val="tx1"/>
                                  </w14:solidFill>
                                </w14:textFill>
                              </w:rPr>
                            </w:pPr>
                            <w:r>
                              <w:rPr>
                                <w:rFonts w:hint="eastAsia" w:hAnsi="宋体"/>
                                <w:szCs w:val="21"/>
                                <w:lang w:val="en-US" w:eastAsia="zh-CN"/>
                              </w:rPr>
                              <w:t>被</w:t>
                            </w:r>
                            <w:r>
                              <w:rPr>
                                <w:rFonts w:hint="eastAsia" w:hAnsi="宋体"/>
                                <w:szCs w:val="21"/>
                              </w:rPr>
                              <w:t>权代表身份证</w:t>
                            </w:r>
                            <w:r>
                              <w:rPr>
                                <w:rFonts w:hint="eastAsia" w:hAnsi="宋体"/>
                                <w:szCs w:val="21"/>
                                <w:lang w:val="en-US" w:eastAsia="zh-CN"/>
                              </w:rPr>
                              <w:t>反</w:t>
                            </w:r>
                            <w:r>
                              <w:rPr>
                                <w:rFonts w:hint="eastAsia" w:hAnsi="宋体"/>
                                <w:szCs w:val="21"/>
                              </w:rPr>
                              <w:t>面复印件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45.85pt;margin-top:13.55pt;height:124.75pt;width:178.5pt;z-index:251661312;v-text-anchor:middle;mso-width-relative:page;mso-height-relative:page;" filled="f" stroked="t" coordsize="21600,21600" arcsize="0.166666666666667" o:gfxdata="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vATF/tcAAAAKAQAADwAAAAAAAAABACAA&#10;AAAiAAAAZHJzL2Rvd25yZXYueG1sUEsBAhQAFAAAAAgAh07iQImujZiAAgAA4wQAAA4AAAAAAAAA&#10;AQAgAAAAJgEAAGRycy9lMm9Eb2MueG1sUEsFBgAAAAAGAAYAWQEAABgGAAAAAA==&#10;">
                <v:fill on="f" focussize="0,0"/>
                <v:stroke weight="1pt" color="#000000" miterlimit="8" joinstyle="miter"/>
                <v:imagedata o:title=""/>
                <o:lock v:ext="edit" aspectratio="f"/>
                <v:textbox>
                  <w:txbxContent>
                    <w:p w14:paraId="1D121CF7">
                      <w:pPr>
                        <w:jc w:val="center"/>
                        <w:rPr>
                          <w:color w:val="000000" w:themeColor="text1"/>
                          <w14:textFill>
                            <w14:solidFill>
                              <w14:schemeClr w14:val="tx1"/>
                            </w14:solidFill>
                          </w14:textFill>
                        </w:rPr>
                      </w:pPr>
                      <w:r>
                        <w:rPr>
                          <w:rFonts w:hint="eastAsia" w:hAnsi="宋体"/>
                          <w:szCs w:val="21"/>
                          <w:lang w:val="en-US" w:eastAsia="zh-CN"/>
                        </w:rPr>
                        <w:t>被</w:t>
                      </w:r>
                      <w:r>
                        <w:rPr>
                          <w:rFonts w:hint="eastAsia" w:hAnsi="宋体"/>
                          <w:szCs w:val="21"/>
                        </w:rPr>
                        <w:t>权代表身份证</w:t>
                      </w:r>
                      <w:r>
                        <w:rPr>
                          <w:rFonts w:hint="eastAsia" w:hAnsi="宋体"/>
                          <w:szCs w:val="21"/>
                          <w:lang w:val="en-US" w:eastAsia="zh-CN"/>
                        </w:rPr>
                        <w:t>反</w:t>
                      </w:r>
                      <w:r>
                        <w:rPr>
                          <w:rFonts w:hint="eastAsia" w:hAnsi="宋体"/>
                          <w:szCs w:val="21"/>
                        </w:rPr>
                        <w:t>面复印件</w:t>
                      </w:r>
                    </w:p>
                  </w:txbxContent>
                </v:textbox>
              </v:round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17780</wp:posOffset>
                </wp:positionH>
                <wp:positionV relativeFrom="paragraph">
                  <wp:posOffset>167005</wp:posOffset>
                </wp:positionV>
                <wp:extent cx="2399030" cy="1609090"/>
                <wp:effectExtent l="6350" t="6350" r="13970" b="22860"/>
                <wp:wrapNone/>
                <wp:docPr id="10" name="圆角矩形 10"/>
                <wp:cNvGraphicFramePr/>
                <a:graphic xmlns:a="http://schemas.openxmlformats.org/drawingml/2006/main">
                  <a:graphicData uri="http://schemas.microsoft.com/office/word/2010/wordprocessingShape">
                    <wps:wsp>
                      <wps:cNvSpPr/>
                      <wps:spPr>
                        <a:xfrm>
                          <a:off x="1160780" y="7223125"/>
                          <a:ext cx="2399030" cy="1609090"/>
                        </a:xfrm>
                        <a:prstGeom prst="roundRect">
                          <a:avLst/>
                        </a:prstGeom>
                      </wps:spPr>
                      <wps:style>
                        <a:lnRef idx="2">
                          <a:prstClr val="black"/>
                        </a:lnRef>
                        <a:fillRef idx="0">
                          <a:srgbClr val="FFFFFF"/>
                        </a:fillRef>
                        <a:effectRef idx="0">
                          <a:srgbClr val="FFFFFF"/>
                        </a:effectRef>
                        <a:fontRef idx="minor">
                          <a:schemeClr val="tx1"/>
                        </a:fontRef>
                      </wps:style>
                      <wps:txbx>
                        <w:txbxContent>
                          <w:p w14:paraId="614EA1F2">
                            <w:pPr>
                              <w:jc w:val="center"/>
                              <w:rPr>
                                <w:rFonts w:hint="eastAsia" w:eastAsiaTheme="minorEastAsia"/>
                                <w:lang w:val="en-US" w:eastAsia="zh-CN"/>
                              </w:rPr>
                            </w:pPr>
                            <w:r>
                              <w:rPr>
                                <w:rFonts w:hint="eastAsia" w:hAnsi="宋体"/>
                                <w:szCs w:val="21"/>
                              </w:rPr>
                              <w:t>被授权代表身份证正面</w:t>
                            </w:r>
                            <w:r>
                              <w:rPr>
                                <w:rFonts w:hint="eastAsia" w:hAnsi="宋体"/>
                                <w:szCs w:val="21"/>
                                <w:lang w:val="en-US" w:eastAsia="zh-CN"/>
                              </w:rPr>
                              <w:t>复印件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4pt;margin-top:13.15pt;height:126.7pt;width:188.9pt;z-index:251660288;v-text-anchor:middle;mso-width-relative:page;mso-height-relative:page;" filled="f" stroked="t" coordsize="21600,21600" arcsize="0.166666666666667" o:gfxdata="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AeEuXvXAAAACAEAAA8A&#10;AAAAAAAAAQAgAAAAIgAAAGRycy9kb3ducmV2LnhtbFBLAQIUABQAAAAIAIdO4kCbaHQLigIAAO8E&#10;AAAOAAAAAAAAAAEAIAAAACYBAABkcnMvZTJvRG9jLnhtbFBLBQYAAAAABgAGAFkBAAAiBgAAAAA=&#10;">
                <v:fill on="f" focussize="0,0"/>
                <v:stroke weight="1pt" color="#000000" miterlimit="8" joinstyle="miter"/>
                <v:imagedata o:title=""/>
                <o:lock v:ext="edit" aspectratio="f"/>
                <v:textbox>
                  <w:txbxContent>
                    <w:p w14:paraId="614EA1F2">
                      <w:pPr>
                        <w:jc w:val="center"/>
                        <w:rPr>
                          <w:rFonts w:hint="eastAsia" w:eastAsiaTheme="minorEastAsia"/>
                          <w:lang w:val="en-US" w:eastAsia="zh-CN"/>
                        </w:rPr>
                      </w:pPr>
                      <w:r>
                        <w:rPr>
                          <w:rFonts w:hint="eastAsia" w:hAnsi="宋体"/>
                          <w:szCs w:val="21"/>
                        </w:rPr>
                        <w:t>被授权代表身份证正面</w:t>
                      </w:r>
                      <w:r>
                        <w:rPr>
                          <w:rFonts w:hint="eastAsia" w:hAnsi="宋体"/>
                          <w:szCs w:val="21"/>
                          <w:lang w:val="en-US" w:eastAsia="zh-CN"/>
                        </w:rPr>
                        <w:t>复印件</w:t>
                      </w:r>
                    </w:p>
                  </w:txbxContent>
                </v:textbox>
              </v:roundrect>
            </w:pict>
          </mc:Fallback>
        </mc:AlternateContent>
      </w:r>
    </w:p>
    <w:p w14:paraId="0033474F">
      <w:pPr>
        <w:rPr>
          <w:rFonts w:hint="eastAsia" w:asciiTheme="minorEastAsia" w:hAnsiTheme="minorEastAsia" w:eastAsiaTheme="minorEastAsia" w:cstheme="minorEastAsia"/>
          <w:sz w:val="21"/>
          <w:szCs w:val="21"/>
          <w:lang w:eastAsia="zh-CN"/>
        </w:rPr>
      </w:pPr>
    </w:p>
    <w:p w14:paraId="6B3AC5FD">
      <w:pPr>
        <w:rPr>
          <w:rFonts w:hint="eastAsia" w:asciiTheme="minorEastAsia" w:hAnsiTheme="minorEastAsia" w:eastAsiaTheme="minorEastAsia" w:cstheme="minorEastAsia"/>
          <w:sz w:val="21"/>
          <w:szCs w:val="21"/>
          <w:lang w:eastAsia="zh-CN"/>
        </w:rPr>
      </w:pPr>
    </w:p>
    <w:p w14:paraId="6D9AD8AC">
      <w:pPr>
        <w:rPr>
          <w:rFonts w:hint="eastAsia" w:asciiTheme="minorEastAsia" w:hAnsiTheme="minorEastAsia" w:eastAsiaTheme="minorEastAsia" w:cstheme="minorEastAsia"/>
          <w:sz w:val="21"/>
          <w:szCs w:val="21"/>
          <w:lang w:eastAsia="zh-CN"/>
        </w:rPr>
      </w:pPr>
    </w:p>
    <w:p w14:paraId="27335337">
      <w:pPr>
        <w:rPr>
          <w:rFonts w:hint="eastAsia" w:asciiTheme="minorEastAsia" w:hAnsiTheme="minorEastAsia" w:eastAsiaTheme="minorEastAsia" w:cstheme="minorEastAsia"/>
          <w:sz w:val="21"/>
          <w:szCs w:val="21"/>
          <w:lang w:eastAsia="zh-CN"/>
        </w:rPr>
      </w:pPr>
    </w:p>
    <w:p w14:paraId="219823B5">
      <w:pPr>
        <w:rPr>
          <w:rFonts w:hint="eastAsia" w:asciiTheme="minorEastAsia" w:hAnsiTheme="minorEastAsia" w:eastAsiaTheme="minorEastAsia" w:cstheme="minorEastAsia"/>
          <w:sz w:val="21"/>
          <w:szCs w:val="21"/>
          <w:lang w:eastAsia="zh-CN"/>
        </w:rPr>
      </w:pPr>
    </w:p>
    <w:p w14:paraId="7929AF9B">
      <w:pPr>
        <w:rPr>
          <w:rFonts w:hint="eastAsia" w:asciiTheme="minorEastAsia" w:hAnsiTheme="minorEastAsia" w:eastAsiaTheme="minorEastAsia" w:cstheme="minorEastAsia"/>
          <w:sz w:val="21"/>
          <w:szCs w:val="21"/>
          <w:lang w:eastAsia="zh-CN"/>
        </w:rPr>
      </w:pPr>
    </w:p>
    <w:p w14:paraId="304AB286">
      <w:pPr>
        <w:rPr>
          <w:rFonts w:hint="eastAsia" w:asciiTheme="minorEastAsia" w:hAnsiTheme="minorEastAsia" w:eastAsiaTheme="minorEastAsia" w:cstheme="minorEastAsia"/>
          <w:sz w:val="21"/>
          <w:szCs w:val="21"/>
          <w:lang w:eastAsia="zh-CN"/>
        </w:rPr>
      </w:pPr>
    </w:p>
    <w:p w14:paraId="58C79B97">
      <w:pPr>
        <w:rPr>
          <w:rFonts w:hint="eastAsia" w:asciiTheme="minorEastAsia" w:hAnsiTheme="minorEastAsia" w:eastAsiaTheme="minorEastAsia" w:cstheme="minorEastAsia"/>
          <w:sz w:val="21"/>
          <w:szCs w:val="21"/>
          <w:lang w:eastAsia="zh-CN"/>
        </w:rPr>
      </w:pPr>
    </w:p>
    <w:p w14:paraId="4FF96B55">
      <w:pPr>
        <w:rPr>
          <w:rFonts w:hint="eastAsia" w:asciiTheme="minorEastAsia" w:hAnsiTheme="minorEastAsia" w:eastAsiaTheme="minorEastAsia" w:cstheme="minorEastAsia"/>
          <w:sz w:val="21"/>
          <w:szCs w:val="21"/>
          <w:lang w:eastAsia="zh-CN"/>
        </w:rPr>
      </w:pPr>
    </w:p>
    <w:p w14:paraId="3D7AD313">
      <w:pPr>
        <w:rPr>
          <w:rFonts w:hint="eastAsia" w:asciiTheme="minorEastAsia" w:hAnsiTheme="minorEastAsia" w:eastAsiaTheme="minorEastAsia" w:cstheme="minorEastAsia"/>
          <w:sz w:val="21"/>
          <w:szCs w:val="21"/>
          <w:lang w:eastAsia="zh-CN"/>
        </w:rPr>
      </w:pPr>
    </w:p>
    <w:p w14:paraId="0915D244">
      <w:pPr>
        <w:jc w:val="center"/>
        <w:rPr>
          <w:rFonts w:hint="eastAsia" w:asciiTheme="minorEastAsia" w:hAnsiTheme="minorEastAsia" w:eastAsiaTheme="minorEastAsia" w:cstheme="minorEastAsia"/>
          <w:b/>
          <w:bCs/>
          <w:sz w:val="32"/>
          <w:szCs w:val="32"/>
          <w:lang w:eastAsia="zh-CN"/>
        </w:rPr>
      </w:pPr>
    </w:p>
    <w:p w14:paraId="2AA37EFC">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表3  法定代表人证明书</w:t>
      </w:r>
    </w:p>
    <w:p w14:paraId="2B102CFF">
      <w:pPr>
        <w:rPr>
          <w:rFonts w:hint="eastAsia" w:asciiTheme="minorEastAsia" w:hAnsiTheme="minorEastAsia" w:eastAsiaTheme="minorEastAsia" w:cstheme="minorEastAsia"/>
          <w:sz w:val="21"/>
          <w:szCs w:val="21"/>
          <w:lang w:eastAsia="zh-CN"/>
        </w:rPr>
      </w:pPr>
    </w:p>
    <w:p w14:paraId="649B4DF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致：中山市古镇人民医院：</w:t>
      </w:r>
    </w:p>
    <w:p w14:paraId="4DC5B121">
      <w:pPr>
        <w:rPr>
          <w:rFonts w:hint="eastAsia" w:asciiTheme="minorEastAsia" w:hAnsiTheme="minorEastAsia" w:eastAsiaTheme="minorEastAsia" w:cstheme="minorEastAsia"/>
          <w:sz w:val="21"/>
          <w:szCs w:val="21"/>
          <w:lang w:eastAsia="zh-CN"/>
        </w:rPr>
      </w:pPr>
    </w:p>
    <w:p w14:paraId="36DA2892">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u w:val="single"/>
          <w:lang w:eastAsia="zh-CN"/>
        </w:rPr>
        <w:t>（          ）</w:t>
      </w:r>
      <w:r>
        <w:rPr>
          <w:rFonts w:hint="eastAsia" w:asciiTheme="minorEastAsia" w:hAnsiTheme="minorEastAsia" w:eastAsiaTheme="minorEastAsia" w:cstheme="minorEastAsia"/>
          <w:sz w:val="21"/>
          <w:szCs w:val="21"/>
          <w:lang w:eastAsia="zh-CN"/>
        </w:rPr>
        <w:t>同志，现任我</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u w:val="single"/>
          <w:lang w:eastAsia="zh-CN"/>
        </w:rPr>
        <w:t>（          ）</w:t>
      </w:r>
      <w:r>
        <w:rPr>
          <w:rFonts w:hint="eastAsia" w:asciiTheme="minorEastAsia" w:hAnsiTheme="minorEastAsia" w:eastAsiaTheme="minorEastAsia" w:cstheme="minorEastAsia"/>
          <w:sz w:val="21"/>
          <w:szCs w:val="21"/>
          <w:lang w:eastAsia="zh-CN"/>
        </w:rPr>
        <w:t>职务，为法定代表人，特此证明。</w:t>
      </w:r>
    </w:p>
    <w:p w14:paraId="4C95F086">
      <w:pPr>
        <w:rPr>
          <w:rFonts w:hint="eastAsia" w:asciiTheme="minorEastAsia" w:hAnsiTheme="minorEastAsia" w:eastAsiaTheme="minorEastAsia" w:cstheme="minorEastAsia"/>
          <w:sz w:val="21"/>
          <w:szCs w:val="21"/>
          <w:lang w:eastAsia="zh-CN"/>
        </w:rPr>
      </w:pPr>
    </w:p>
    <w:p w14:paraId="6479D878">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签发日期：                         </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               （盖章）</w:t>
      </w:r>
    </w:p>
    <w:p w14:paraId="0A621394">
      <w:pPr>
        <w:rPr>
          <w:rFonts w:hint="eastAsia" w:asciiTheme="minorEastAsia" w:hAnsiTheme="minorEastAsia" w:eastAsiaTheme="minorEastAsia" w:cstheme="minorEastAsia"/>
          <w:sz w:val="21"/>
          <w:szCs w:val="21"/>
          <w:lang w:eastAsia="zh-CN"/>
        </w:rPr>
      </w:pPr>
    </w:p>
    <w:p w14:paraId="3862B76C">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附：代表人姓名：          性别：            年龄：                身份证号码：</w:t>
      </w:r>
    </w:p>
    <w:p w14:paraId="09E2922E">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联系电话：</w:t>
      </w:r>
    </w:p>
    <w:p w14:paraId="00574E8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有效通讯电子邮箱：</w:t>
      </w:r>
    </w:p>
    <w:p w14:paraId="06D0B04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营业执照号码：                       </w:t>
      </w:r>
    </w:p>
    <w:p w14:paraId="567C568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经济性质：</w:t>
      </w:r>
    </w:p>
    <w:p w14:paraId="7944045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说明：</w:t>
      </w:r>
    </w:p>
    <w:p w14:paraId="644697C2">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1.法定代表人为企业事业</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、国家机关、社会团体的主要行政负责人。</w:t>
      </w:r>
    </w:p>
    <w:p w14:paraId="543E90A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2.内容必须填写真实、清楚、涂改无效，不得转让、买卖。</w:t>
      </w:r>
    </w:p>
    <w:p w14:paraId="231FD04F">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3.将此证明书提交对方作为合同附件。</w:t>
      </w:r>
    </w:p>
    <w:p w14:paraId="0EA2E96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4.身份证复印件（或扫描件）必须清晰可见。</w:t>
      </w:r>
    </w:p>
    <w:p w14:paraId="416B93B6">
      <w:pPr>
        <w:rPr>
          <w:rFonts w:hint="eastAsia" w:asciiTheme="minorEastAsia" w:hAnsiTheme="minorEastAsia" w:eastAsiaTheme="minorEastAsia" w:cstheme="minorEastAsia"/>
          <w:sz w:val="21"/>
          <w:szCs w:val="21"/>
          <w:lang w:eastAsia="zh-CN"/>
        </w:rPr>
      </w:pPr>
    </w:p>
    <w:p w14:paraId="7B889E41">
      <w:pPr>
        <w:rPr>
          <w:rFonts w:hint="eastAsia" w:asciiTheme="minorEastAsia" w:hAnsiTheme="minorEastAsia" w:eastAsiaTheme="minorEastAsia" w:cstheme="minorEastAsia"/>
          <w:sz w:val="21"/>
          <w:szCs w:val="21"/>
          <w:lang w:eastAsia="zh-CN"/>
        </w:rPr>
      </w:pPr>
    </w:p>
    <w:p w14:paraId="6F8B210C">
      <w:pPr>
        <w:rPr>
          <w:rFonts w:hint="eastAsia" w:asciiTheme="minorEastAsia" w:hAnsiTheme="minorEastAsia" w:eastAsiaTheme="minorEastAsia" w:cstheme="minorEastAsia"/>
          <w:sz w:val="21"/>
          <w:szCs w:val="21"/>
          <w:lang w:eastAsia="zh-CN"/>
        </w:rPr>
      </w:pPr>
    </w:p>
    <w:p w14:paraId="2A4EA12B">
      <w:pPr>
        <w:rPr>
          <w:rFonts w:hint="eastAsia" w:asciiTheme="minorEastAsia" w:hAnsiTheme="minorEastAsia" w:eastAsiaTheme="minorEastAsia" w:cstheme="minorEastAsia"/>
          <w:sz w:val="21"/>
          <w:szCs w:val="21"/>
          <w:lang w:eastAsia="zh-CN"/>
        </w:rPr>
      </w:pPr>
    </w:p>
    <w:p w14:paraId="77484DBF">
      <w:pPr>
        <w:rPr>
          <w:rFonts w:hint="eastAsia" w:asciiTheme="minorEastAsia" w:hAnsiTheme="minorEastAsia" w:eastAsiaTheme="minorEastAsia" w:cstheme="minorEastAsia"/>
          <w:sz w:val="21"/>
          <w:szCs w:val="21"/>
          <w:lang w:eastAsia="zh-CN"/>
        </w:rPr>
      </w:pPr>
    </w:p>
    <w:p w14:paraId="53F52C37">
      <w:pPr>
        <w:rPr>
          <w:rFonts w:hint="eastAsia" w:asciiTheme="minorEastAsia" w:hAnsiTheme="minorEastAsia" w:eastAsiaTheme="minorEastAsia" w:cstheme="minorEastAsia"/>
          <w:sz w:val="21"/>
          <w:szCs w:val="21"/>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-114935</wp:posOffset>
                </wp:positionH>
                <wp:positionV relativeFrom="paragraph">
                  <wp:posOffset>113665</wp:posOffset>
                </wp:positionV>
                <wp:extent cx="2626360" cy="1608455"/>
                <wp:effectExtent l="6350" t="6350" r="15240" b="23495"/>
                <wp:wrapNone/>
                <wp:docPr id="12" name="圆角矩形 12"/>
                <wp:cNvGraphicFramePr/>
                <a:graphic xmlns:a="http://schemas.openxmlformats.org/drawingml/2006/main">
                  <a:graphicData uri="http://schemas.microsoft.com/office/word/2010/wordprocessingShape">
                    <wps:wsp>
                      <wps:cNvSpPr/>
                      <wps:spPr>
                        <a:xfrm>
                          <a:off x="1951355" y="5981065"/>
                          <a:ext cx="2626360" cy="1608455"/>
                        </a:xfrm>
                        <a:prstGeom prst="roundRect">
                          <a:avLst/>
                        </a:prstGeom>
                      </wps:spPr>
                      <wps:style>
                        <a:lnRef idx="2">
                          <a:prstClr val="black"/>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9.05pt;margin-top:8.95pt;height:126.65pt;width:206.8pt;z-index:251662336;v-text-anchor:middle;mso-width-relative:page;mso-height-relative:page;" filled="f" stroked="t" coordsize="21600,21600" arcsize="0.166666666666667" o:gfxdata="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E44CLYAAAACgEAAA8AAAAA&#10;AAAAAQAgAAAAIgAAAGRycy9kb3ducmV2LnhtbFBLAQIUABQAAAAIAIdO4kBKzatShgIAAOQEAAAO&#10;AAAAAAAAAAEAIAAAACcBAABkcnMvZTJvRG9jLnhtbFBLBQYAAAAABgAGAFkBAAAfBgAAAAA=&#10;">
                <v:fill on="f" focussize="0,0"/>
                <v:stroke weight="1pt" color="#000000" miterlimit="8" joinstyle="miter"/>
                <v:imagedata o:title=""/>
                <o:lock v:ext="edit" aspectratio="f"/>
              </v:roundrect>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3027680</wp:posOffset>
                </wp:positionH>
                <wp:positionV relativeFrom="paragraph">
                  <wp:posOffset>113665</wp:posOffset>
                </wp:positionV>
                <wp:extent cx="2437130" cy="1600835"/>
                <wp:effectExtent l="6350" t="6350" r="13970" b="12065"/>
                <wp:wrapNone/>
                <wp:docPr id="13" name="圆角矩形 13"/>
                <wp:cNvGraphicFramePr/>
                <a:graphic xmlns:a="http://schemas.openxmlformats.org/drawingml/2006/main">
                  <a:graphicData uri="http://schemas.microsoft.com/office/word/2010/wordprocessingShape">
                    <wps:wsp>
                      <wps:cNvSpPr/>
                      <wps:spPr>
                        <a:xfrm>
                          <a:off x="0" y="0"/>
                          <a:ext cx="2437130" cy="1600835"/>
                        </a:xfrm>
                        <a:prstGeom prst="roundRect">
                          <a:avLst/>
                        </a:prstGeom>
                      </wps:spPr>
                      <wps:style>
                        <a:lnRef idx="2">
                          <a:prstClr val="black"/>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38.4pt;margin-top:8.95pt;height:126.05pt;width:191.9pt;z-index:251663360;v-text-anchor:middle;mso-width-relative:page;mso-height-relative:page;" filled="f" stroked="t" coordsize="21600,21600" arcsize="0.166666666666667" o:gfxdata="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Jz3CQrXAAAACgEAAA8AAAAAAAAAAQAgAAAAIgAA&#10;AGRycy9kb3ducmV2LnhtbFBLAQIUABQAAAAIAIdO4kB2QKS1ewIAANgEAAAOAAAAAAAAAAEAIAAA&#10;ACYBAABkcnMvZTJvRG9jLnhtbFBLBQYAAAAABgAGAFkBAAATBgAAAAA=&#10;">
                <v:fill on="f" focussize="0,0"/>
                <v:stroke weight="1pt" color="#000000" miterlimit="8" joinstyle="miter"/>
                <v:imagedata o:title=""/>
                <o:lock v:ext="edit" aspectratio="f"/>
              </v:roundrect>
            </w:pict>
          </mc:Fallback>
        </mc:AlternateContent>
      </w:r>
    </w:p>
    <w:p w14:paraId="4AB42D0F">
      <w:pPr>
        <w:rPr>
          <w:rFonts w:hint="eastAsia" w:asciiTheme="minorEastAsia" w:hAnsiTheme="minorEastAsia" w:eastAsiaTheme="minorEastAsia" w:cstheme="minorEastAsia"/>
          <w:sz w:val="21"/>
          <w:szCs w:val="21"/>
          <w:lang w:eastAsia="zh-CN"/>
        </w:rPr>
      </w:pPr>
    </w:p>
    <w:p w14:paraId="7FC6D3B1">
      <w:pPr>
        <w:rPr>
          <w:rFonts w:hint="eastAsia" w:asciiTheme="minorEastAsia" w:hAnsiTheme="minorEastAsia" w:eastAsiaTheme="minorEastAsia" w:cstheme="minorEastAsia"/>
          <w:sz w:val="21"/>
          <w:szCs w:val="21"/>
          <w:lang w:eastAsia="zh-CN"/>
        </w:rPr>
      </w:pPr>
    </w:p>
    <w:p w14:paraId="39D606D7">
      <w:pPr>
        <w:jc w:val="both"/>
        <w:rPr>
          <w:rFonts w:hint="eastAsia" w:hAnsi="宋体"/>
          <w:szCs w:val="21"/>
        </w:rPr>
      </w:pPr>
    </w:p>
    <w:p w14:paraId="14339334">
      <w:pPr>
        <w:tabs>
          <w:tab w:val="left" w:pos="6561"/>
        </w:tabs>
        <w:ind w:firstLine="630" w:firstLineChars="300"/>
        <w:jc w:val="both"/>
        <w:rPr>
          <w:rFonts w:hint="default" w:eastAsiaTheme="minorEastAsia"/>
          <w:lang w:val="en-US" w:eastAsia="zh-CN"/>
        </w:rPr>
      </w:pPr>
      <w:r>
        <w:rPr>
          <w:rFonts w:hint="eastAsia" w:hAnsi="宋体"/>
          <w:szCs w:val="21"/>
        </w:rPr>
        <w:t>法定代表人身份证正面</w:t>
      </w:r>
      <w:r>
        <w:rPr>
          <w:rFonts w:hint="eastAsia" w:hAnsi="宋体"/>
          <w:szCs w:val="21"/>
          <w:lang w:val="en-US" w:eastAsia="zh-CN"/>
        </w:rPr>
        <w:t xml:space="preserve">复印件                   </w:t>
      </w:r>
      <w:r>
        <w:rPr>
          <w:rFonts w:hint="eastAsia" w:hAnsi="宋体"/>
          <w:szCs w:val="21"/>
        </w:rPr>
        <w:t>法定代表人</w:t>
      </w:r>
      <w:r>
        <w:rPr>
          <w:rFonts w:hint="eastAsia" w:hAnsi="宋体"/>
          <w:szCs w:val="21"/>
          <w:lang w:val="en-US" w:eastAsia="zh-CN"/>
        </w:rPr>
        <w:t>身份证反面复印件</w:t>
      </w:r>
    </w:p>
    <w:p w14:paraId="604D365C">
      <w:pPr>
        <w:rPr>
          <w:rFonts w:hint="eastAsia" w:asciiTheme="minorEastAsia" w:hAnsiTheme="minorEastAsia" w:eastAsiaTheme="minorEastAsia" w:cstheme="minorEastAsia"/>
          <w:sz w:val="21"/>
          <w:szCs w:val="21"/>
          <w:lang w:eastAsia="zh-CN"/>
        </w:rPr>
      </w:pPr>
    </w:p>
    <w:p w14:paraId="0798BF56">
      <w:pPr>
        <w:rPr>
          <w:rFonts w:hint="eastAsia" w:asciiTheme="minorEastAsia" w:hAnsiTheme="minorEastAsia" w:eastAsiaTheme="minorEastAsia" w:cstheme="minorEastAsia"/>
          <w:sz w:val="21"/>
          <w:szCs w:val="21"/>
          <w:lang w:eastAsia="zh-CN"/>
        </w:rPr>
      </w:pPr>
    </w:p>
    <w:p w14:paraId="616FDDDF">
      <w:pPr>
        <w:rPr>
          <w:rFonts w:hint="eastAsia" w:asciiTheme="minorEastAsia" w:hAnsiTheme="minorEastAsia" w:eastAsiaTheme="minorEastAsia" w:cstheme="minorEastAsia"/>
          <w:sz w:val="21"/>
          <w:szCs w:val="21"/>
          <w:lang w:eastAsia="zh-CN"/>
        </w:rPr>
      </w:pPr>
    </w:p>
    <w:p w14:paraId="5718794F">
      <w:pPr>
        <w:rPr>
          <w:rFonts w:hint="eastAsia" w:asciiTheme="minorEastAsia" w:hAnsiTheme="minorEastAsia" w:eastAsiaTheme="minorEastAsia" w:cstheme="minorEastAsia"/>
          <w:sz w:val="21"/>
          <w:szCs w:val="21"/>
          <w:lang w:eastAsia="zh-CN"/>
        </w:rPr>
      </w:pPr>
    </w:p>
    <w:p w14:paraId="14CFECD6">
      <w:pPr>
        <w:rPr>
          <w:rFonts w:hint="eastAsia" w:asciiTheme="minorEastAsia" w:hAnsiTheme="minorEastAsia" w:eastAsiaTheme="minorEastAsia" w:cstheme="minorEastAsia"/>
          <w:sz w:val="21"/>
          <w:szCs w:val="21"/>
          <w:lang w:eastAsia="zh-CN"/>
        </w:rPr>
      </w:pPr>
    </w:p>
    <w:p w14:paraId="35B48CB2">
      <w:pPr>
        <w:rPr>
          <w:rFonts w:hint="eastAsia" w:asciiTheme="minorEastAsia" w:hAnsiTheme="minorEastAsia" w:eastAsiaTheme="minorEastAsia" w:cstheme="minorEastAsia"/>
          <w:sz w:val="21"/>
          <w:szCs w:val="21"/>
          <w:lang w:eastAsia="zh-CN"/>
        </w:rPr>
      </w:pPr>
    </w:p>
    <w:p w14:paraId="0C7AE03D">
      <w:pPr>
        <w:rPr>
          <w:rFonts w:hint="eastAsia" w:asciiTheme="minorEastAsia" w:hAnsiTheme="minorEastAsia" w:eastAsiaTheme="minorEastAsia" w:cstheme="minorEastAsia"/>
          <w:sz w:val="21"/>
          <w:szCs w:val="21"/>
          <w:lang w:eastAsia="zh-CN"/>
        </w:rPr>
      </w:pPr>
    </w:p>
    <w:p w14:paraId="54B60402">
      <w:pPr>
        <w:rPr>
          <w:rFonts w:hint="eastAsia" w:asciiTheme="minorEastAsia" w:hAnsiTheme="minorEastAsia" w:eastAsiaTheme="minorEastAsia" w:cstheme="minorEastAsia"/>
          <w:sz w:val="21"/>
          <w:szCs w:val="21"/>
          <w:lang w:eastAsia="zh-CN"/>
        </w:rPr>
      </w:pPr>
    </w:p>
    <w:p w14:paraId="7EA7B811">
      <w:pPr>
        <w:rPr>
          <w:rFonts w:hint="eastAsia" w:asciiTheme="minorEastAsia" w:hAnsiTheme="minorEastAsia" w:eastAsiaTheme="minorEastAsia" w:cstheme="minorEastAsia"/>
          <w:sz w:val="21"/>
          <w:szCs w:val="21"/>
          <w:lang w:eastAsia="zh-CN"/>
        </w:rPr>
      </w:pPr>
    </w:p>
    <w:p w14:paraId="42FF2191">
      <w:pPr>
        <w:rPr>
          <w:rFonts w:hint="eastAsia" w:asciiTheme="minorEastAsia" w:hAnsiTheme="minorEastAsia" w:eastAsiaTheme="minorEastAsia" w:cstheme="minorEastAsia"/>
          <w:sz w:val="21"/>
          <w:szCs w:val="21"/>
          <w:lang w:eastAsia="zh-CN"/>
        </w:rPr>
      </w:pPr>
    </w:p>
    <w:p w14:paraId="5B34013A">
      <w:pPr>
        <w:jc w:val="center"/>
        <w:rPr>
          <w:rFonts w:hint="eastAsia" w:asciiTheme="minorEastAsia" w:hAnsiTheme="minorEastAsia" w:eastAsiaTheme="minorEastAsia" w:cstheme="minorEastAsia"/>
          <w:b/>
          <w:bCs/>
          <w:sz w:val="32"/>
          <w:szCs w:val="32"/>
          <w:lang w:eastAsia="zh-CN"/>
        </w:rPr>
      </w:pPr>
      <w:bookmarkStart w:id="0" w:name="_GoBack"/>
      <w:bookmarkEnd w:id="0"/>
    </w:p>
    <w:p w14:paraId="36C23E5C">
      <w:pPr>
        <w:jc w:val="center"/>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bCs/>
          <w:sz w:val="32"/>
          <w:szCs w:val="32"/>
          <w:lang w:eastAsia="zh-CN"/>
        </w:rPr>
        <w:t xml:space="preserve">表4 </w:t>
      </w:r>
      <w:r>
        <w:rPr>
          <w:rFonts w:hint="eastAsia" w:asciiTheme="minorEastAsia" w:hAnsiTheme="minorEastAsia" w:cstheme="minorEastAsia"/>
          <w:b/>
          <w:bCs/>
          <w:sz w:val="32"/>
          <w:szCs w:val="32"/>
          <w:lang w:val="en-US" w:eastAsia="zh-CN"/>
        </w:rPr>
        <w:t xml:space="preserve"> </w:t>
      </w:r>
      <w:r>
        <w:rPr>
          <w:rFonts w:hint="eastAsia" w:asciiTheme="minorEastAsia" w:hAnsiTheme="minorEastAsia" w:eastAsiaTheme="minorEastAsia" w:cstheme="minorEastAsia"/>
          <w:b/>
          <w:bCs/>
          <w:sz w:val="32"/>
          <w:szCs w:val="32"/>
          <w:lang w:eastAsia="zh-CN"/>
        </w:rPr>
        <w:t>分项报价一览表</w:t>
      </w:r>
    </w:p>
    <w:p w14:paraId="38F7E7B1">
      <w:pPr>
        <w:spacing w:before="120" w:beforeLines="50" w:after="120" w:afterLines="50" w:line="360" w:lineRule="auto"/>
        <w:ind w:firstLine="530"/>
        <w:jc w:val="both"/>
        <w:rPr>
          <w:rFonts w:hint="eastAsia" w:asciiTheme="minorEastAsia" w:hAnsiTheme="minorEastAsia" w:eastAsiaTheme="minorEastAsia" w:cstheme="minorEastAsia"/>
          <w:sz w:val="21"/>
          <w:szCs w:val="21"/>
          <w:lang w:eastAsia="zh-CN"/>
        </w:rPr>
      </w:pPr>
      <w:r>
        <w:rPr>
          <w:rFonts w:hint="eastAsia" w:ascii="宋体" w:hAnsi="宋体" w:cs="Arial"/>
          <w:szCs w:val="21"/>
        </w:rPr>
        <w:t>项目名称：                                    金额</w:t>
      </w:r>
      <w:r>
        <w:rPr>
          <w:rFonts w:hint="eastAsia" w:ascii="宋体" w:hAnsi="宋体" w:cs="Arial"/>
          <w:szCs w:val="21"/>
          <w:lang w:eastAsia="zh-CN"/>
        </w:rPr>
        <w:t>供应商</w:t>
      </w:r>
      <w:r>
        <w:rPr>
          <w:rFonts w:hint="eastAsia" w:ascii="宋体" w:hAnsi="宋体" w:cs="Arial"/>
          <w:szCs w:val="21"/>
        </w:rPr>
        <w:t>：元（人民币）</w:t>
      </w:r>
    </w:p>
    <w:tbl>
      <w:tblPr>
        <w:tblStyle w:val="1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2520"/>
        <w:gridCol w:w="1815"/>
        <w:gridCol w:w="1725"/>
        <w:gridCol w:w="1410"/>
      </w:tblGrid>
      <w:tr w14:paraId="475D55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atLeast"/>
        </w:trPr>
        <w:tc>
          <w:tcPr>
            <w:tcW w:w="1092" w:type="dxa"/>
            <w:tcBorders>
              <w:top w:val="double" w:color="auto" w:sz="4" w:space="0"/>
              <w:bottom w:val="single" w:color="auto" w:sz="6" w:space="0"/>
            </w:tcBorders>
            <w:shd w:val="clear" w:color="auto" w:fill="D9D9D9"/>
            <w:noWrap w:val="0"/>
            <w:vAlign w:val="center"/>
          </w:tcPr>
          <w:p w14:paraId="12B6C967">
            <w:pPr>
              <w:adjustRightInd w:val="0"/>
              <w:snapToGrid w:val="0"/>
              <w:spacing w:line="360" w:lineRule="auto"/>
              <w:jc w:val="center"/>
              <w:rPr>
                <w:rFonts w:hint="eastAsia" w:ascii="宋体" w:hAnsi="宋体"/>
                <w:b/>
                <w:szCs w:val="21"/>
              </w:rPr>
            </w:pPr>
            <w:r>
              <w:rPr>
                <w:rFonts w:hint="eastAsia" w:ascii="宋体" w:hAnsi="宋体"/>
                <w:b/>
                <w:szCs w:val="21"/>
              </w:rPr>
              <w:t>序号</w:t>
            </w:r>
          </w:p>
        </w:tc>
        <w:tc>
          <w:tcPr>
            <w:tcW w:w="2520" w:type="dxa"/>
            <w:tcBorders>
              <w:top w:val="double" w:color="auto" w:sz="4" w:space="0"/>
              <w:bottom w:val="single" w:color="auto" w:sz="6" w:space="0"/>
            </w:tcBorders>
            <w:shd w:val="clear" w:color="auto" w:fill="D9D9D9"/>
            <w:noWrap w:val="0"/>
            <w:vAlign w:val="center"/>
          </w:tcPr>
          <w:p w14:paraId="341E280E">
            <w:pPr>
              <w:pStyle w:val="33"/>
              <w:keepNext w:val="0"/>
              <w:snapToGrid w:val="0"/>
              <w:spacing w:before="0" w:after="0" w:line="360" w:lineRule="auto"/>
              <w:textAlignment w:val="auto"/>
              <w:rPr>
                <w:rFonts w:hint="eastAsia" w:ascii="宋体" w:hAnsi="宋体"/>
                <w:b/>
                <w:snapToGrid/>
                <w:spacing w:val="0"/>
                <w:kern w:val="2"/>
                <w:sz w:val="21"/>
                <w:szCs w:val="21"/>
                <w:lang w:val="en-US" w:eastAsia="zh-CN"/>
              </w:rPr>
            </w:pPr>
            <w:r>
              <w:rPr>
                <w:rFonts w:hint="eastAsia" w:ascii="宋体" w:hAnsi="宋体"/>
                <w:b/>
                <w:snapToGrid/>
                <w:spacing w:val="0"/>
                <w:kern w:val="2"/>
                <w:sz w:val="21"/>
                <w:szCs w:val="21"/>
                <w:lang w:val="en-US" w:eastAsia="zh-CN"/>
              </w:rPr>
              <w:t>项目名称</w:t>
            </w:r>
          </w:p>
        </w:tc>
        <w:tc>
          <w:tcPr>
            <w:tcW w:w="1815" w:type="dxa"/>
            <w:tcBorders>
              <w:top w:val="double" w:color="auto" w:sz="4" w:space="0"/>
              <w:bottom w:val="single" w:color="auto" w:sz="6" w:space="0"/>
            </w:tcBorders>
            <w:shd w:val="clear" w:color="auto" w:fill="D9D9D9"/>
            <w:noWrap w:val="0"/>
            <w:vAlign w:val="center"/>
          </w:tcPr>
          <w:p w14:paraId="370366CF">
            <w:pPr>
              <w:adjustRightInd w:val="0"/>
              <w:snapToGrid w:val="0"/>
              <w:spacing w:line="360" w:lineRule="auto"/>
              <w:jc w:val="center"/>
              <w:rPr>
                <w:rFonts w:hint="eastAsia" w:ascii="宋体" w:hAnsi="宋体"/>
                <w:b/>
                <w:szCs w:val="21"/>
              </w:rPr>
            </w:pPr>
            <w:r>
              <w:rPr>
                <w:rFonts w:hint="eastAsia" w:ascii="宋体" w:hAnsi="宋体"/>
                <w:b/>
                <w:szCs w:val="21"/>
                <w:lang w:val="en-US" w:eastAsia="zh-CN"/>
              </w:rPr>
              <w:t>单价</w:t>
            </w:r>
          </w:p>
        </w:tc>
        <w:tc>
          <w:tcPr>
            <w:tcW w:w="1725" w:type="dxa"/>
            <w:tcBorders>
              <w:top w:val="double" w:color="auto" w:sz="4" w:space="0"/>
              <w:bottom w:val="single" w:color="auto" w:sz="6" w:space="0"/>
            </w:tcBorders>
            <w:shd w:val="clear" w:color="auto" w:fill="D9D9D9"/>
            <w:noWrap w:val="0"/>
            <w:vAlign w:val="center"/>
          </w:tcPr>
          <w:p w14:paraId="36FD4C05">
            <w:pPr>
              <w:adjustRightInd w:val="0"/>
              <w:snapToGrid w:val="0"/>
              <w:spacing w:line="360" w:lineRule="auto"/>
              <w:jc w:val="center"/>
              <w:rPr>
                <w:rFonts w:hint="eastAsia" w:ascii="宋体" w:hAnsi="宋体"/>
                <w:b/>
                <w:szCs w:val="21"/>
              </w:rPr>
            </w:pPr>
            <w:r>
              <w:rPr>
                <w:rFonts w:hint="eastAsia" w:ascii="宋体" w:hAnsi="宋体"/>
                <w:b/>
                <w:szCs w:val="21"/>
                <w:lang w:val="en-US" w:eastAsia="zh-CN"/>
              </w:rPr>
              <w:t>数量</w:t>
            </w:r>
          </w:p>
        </w:tc>
        <w:tc>
          <w:tcPr>
            <w:tcW w:w="1410" w:type="dxa"/>
            <w:tcBorders>
              <w:top w:val="double" w:color="auto" w:sz="4" w:space="0"/>
              <w:bottom w:val="single" w:color="auto" w:sz="6" w:space="0"/>
            </w:tcBorders>
            <w:shd w:val="clear" w:color="auto" w:fill="D9D9D9"/>
            <w:noWrap w:val="0"/>
            <w:vAlign w:val="center"/>
          </w:tcPr>
          <w:p w14:paraId="3DD67FBC">
            <w:pPr>
              <w:adjustRightInd w:val="0"/>
              <w:snapToGrid w:val="0"/>
              <w:spacing w:line="360" w:lineRule="auto"/>
              <w:jc w:val="center"/>
              <w:rPr>
                <w:rFonts w:hint="default" w:ascii="宋体" w:hAnsi="宋体"/>
                <w:b/>
                <w:szCs w:val="21"/>
                <w:lang w:val="en-US" w:eastAsia="zh-CN"/>
              </w:rPr>
            </w:pPr>
            <w:r>
              <w:rPr>
                <w:rFonts w:hint="eastAsia" w:ascii="宋体" w:hAnsi="宋体"/>
                <w:b/>
                <w:szCs w:val="21"/>
                <w:lang w:val="en-US" w:eastAsia="zh-CN"/>
              </w:rPr>
              <w:t>备注</w:t>
            </w:r>
          </w:p>
        </w:tc>
      </w:tr>
      <w:tr w14:paraId="49D723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092" w:type="dxa"/>
            <w:tcBorders>
              <w:top w:val="single" w:color="auto" w:sz="6" w:space="0"/>
            </w:tcBorders>
            <w:noWrap w:val="0"/>
            <w:vAlign w:val="center"/>
          </w:tcPr>
          <w:p w14:paraId="5D47614E">
            <w:pPr>
              <w:adjustRightInd w:val="0"/>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1</w:t>
            </w:r>
          </w:p>
        </w:tc>
        <w:tc>
          <w:tcPr>
            <w:tcW w:w="2520" w:type="dxa"/>
            <w:tcBorders>
              <w:top w:val="single" w:color="auto" w:sz="6" w:space="0"/>
            </w:tcBorders>
            <w:noWrap w:val="0"/>
            <w:vAlign w:val="center"/>
          </w:tcPr>
          <w:p w14:paraId="6BD46350">
            <w:pPr>
              <w:spacing w:line="360" w:lineRule="auto"/>
              <w:rPr>
                <w:rFonts w:hint="eastAsia" w:ascii="宋体" w:hAnsi="宋体" w:cs="Arial"/>
                <w:szCs w:val="21"/>
              </w:rPr>
            </w:pPr>
          </w:p>
        </w:tc>
        <w:tc>
          <w:tcPr>
            <w:tcW w:w="1815" w:type="dxa"/>
            <w:tcBorders>
              <w:top w:val="single" w:color="auto" w:sz="6" w:space="0"/>
            </w:tcBorders>
            <w:noWrap w:val="0"/>
            <w:vAlign w:val="center"/>
          </w:tcPr>
          <w:p w14:paraId="49B355CC">
            <w:pPr>
              <w:adjustRightInd w:val="0"/>
              <w:snapToGrid w:val="0"/>
              <w:spacing w:line="360" w:lineRule="auto"/>
              <w:rPr>
                <w:rFonts w:hint="eastAsia" w:ascii="宋体" w:hAnsi="宋体"/>
                <w:szCs w:val="21"/>
              </w:rPr>
            </w:pPr>
          </w:p>
        </w:tc>
        <w:tc>
          <w:tcPr>
            <w:tcW w:w="1725" w:type="dxa"/>
            <w:tcBorders>
              <w:top w:val="single" w:color="auto" w:sz="6" w:space="0"/>
            </w:tcBorders>
            <w:noWrap w:val="0"/>
            <w:vAlign w:val="center"/>
          </w:tcPr>
          <w:p w14:paraId="62BC4A8A">
            <w:pPr>
              <w:adjustRightInd w:val="0"/>
              <w:snapToGrid w:val="0"/>
              <w:spacing w:line="360" w:lineRule="auto"/>
              <w:rPr>
                <w:rFonts w:hint="eastAsia" w:ascii="宋体" w:hAnsi="宋体"/>
                <w:szCs w:val="21"/>
              </w:rPr>
            </w:pPr>
          </w:p>
        </w:tc>
        <w:tc>
          <w:tcPr>
            <w:tcW w:w="1410" w:type="dxa"/>
            <w:tcBorders>
              <w:top w:val="single" w:color="auto" w:sz="6" w:space="0"/>
            </w:tcBorders>
            <w:noWrap w:val="0"/>
            <w:vAlign w:val="center"/>
          </w:tcPr>
          <w:p w14:paraId="4747A5F1">
            <w:pPr>
              <w:adjustRightInd w:val="0"/>
              <w:snapToGrid w:val="0"/>
              <w:spacing w:line="360" w:lineRule="auto"/>
              <w:rPr>
                <w:rFonts w:hint="eastAsia" w:ascii="宋体" w:hAnsi="宋体"/>
                <w:szCs w:val="21"/>
              </w:rPr>
            </w:pPr>
          </w:p>
        </w:tc>
      </w:tr>
      <w:tr w14:paraId="006977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092" w:type="dxa"/>
            <w:noWrap w:val="0"/>
            <w:vAlign w:val="center"/>
          </w:tcPr>
          <w:p w14:paraId="1F0FCC4E">
            <w:pPr>
              <w:adjustRightInd w:val="0"/>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2</w:t>
            </w:r>
          </w:p>
        </w:tc>
        <w:tc>
          <w:tcPr>
            <w:tcW w:w="2520" w:type="dxa"/>
            <w:noWrap w:val="0"/>
            <w:vAlign w:val="center"/>
          </w:tcPr>
          <w:p w14:paraId="0F6E5B78">
            <w:pPr>
              <w:spacing w:line="360" w:lineRule="auto"/>
              <w:rPr>
                <w:rFonts w:hint="eastAsia" w:ascii="宋体" w:hAnsi="宋体" w:cs="Arial"/>
                <w:szCs w:val="21"/>
              </w:rPr>
            </w:pPr>
          </w:p>
        </w:tc>
        <w:tc>
          <w:tcPr>
            <w:tcW w:w="1815" w:type="dxa"/>
            <w:noWrap w:val="0"/>
            <w:vAlign w:val="center"/>
          </w:tcPr>
          <w:p w14:paraId="14D50B2B">
            <w:pPr>
              <w:adjustRightInd w:val="0"/>
              <w:snapToGrid w:val="0"/>
              <w:spacing w:line="360" w:lineRule="auto"/>
              <w:rPr>
                <w:rFonts w:hint="eastAsia" w:ascii="宋体" w:hAnsi="宋体"/>
                <w:szCs w:val="21"/>
              </w:rPr>
            </w:pPr>
          </w:p>
        </w:tc>
        <w:tc>
          <w:tcPr>
            <w:tcW w:w="1725" w:type="dxa"/>
            <w:noWrap w:val="0"/>
            <w:vAlign w:val="center"/>
          </w:tcPr>
          <w:p w14:paraId="375CDA33">
            <w:pPr>
              <w:adjustRightInd w:val="0"/>
              <w:snapToGrid w:val="0"/>
              <w:spacing w:line="360" w:lineRule="auto"/>
              <w:rPr>
                <w:rFonts w:hint="eastAsia" w:ascii="宋体" w:hAnsi="宋体"/>
                <w:szCs w:val="21"/>
              </w:rPr>
            </w:pPr>
          </w:p>
        </w:tc>
        <w:tc>
          <w:tcPr>
            <w:tcW w:w="1410" w:type="dxa"/>
            <w:noWrap w:val="0"/>
            <w:vAlign w:val="center"/>
          </w:tcPr>
          <w:p w14:paraId="66240E80">
            <w:pPr>
              <w:adjustRightInd w:val="0"/>
              <w:snapToGrid w:val="0"/>
              <w:spacing w:line="360" w:lineRule="auto"/>
              <w:rPr>
                <w:rFonts w:hint="eastAsia" w:ascii="宋体" w:hAnsi="宋体"/>
                <w:szCs w:val="21"/>
              </w:rPr>
            </w:pPr>
          </w:p>
        </w:tc>
      </w:tr>
      <w:tr w14:paraId="471462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092" w:type="dxa"/>
            <w:noWrap w:val="0"/>
            <w:vAlign w:val="center"/>
          </w:tcPr>
          <w:p w14:paraId="0FD545D0">
            <w:pPr>
              <w:adjustRightInd w:val="0"/>
              <w:snapToGrid w:val="0"/>
              <w:spacing w:line="360" w:lineRule="auto"/>
              <w:jc w:val="center"/>
              <w:rPr>
                <w:rFonts w:hint="eastAsia" w:ascii="宋体" w:hAnsi="宋体"/>
                <w:szCs w:val="21"/>
              </w:rPr>
            </w:pPr>
            <w:r>
              <w:rPr>
                <w:rFonts w:hint="eastAsia" w:ascii="宋体" w:hAnsi="宋体"/>
                <w:szCs w:val="21"/>
                <w:lang w:val="en-US" w:eastAsia="zh-CN"/>
              </w:rPr>
              <w:t>3</w:t>
            </w:r>
          </w:p>
        </w:tc>
        <w:tc>
          <w:tcPr>
            <w:tcW w:w="2520" w:type="dxa"/>
            <w:noWrap w:val="0"/>
            <w:vAlign w:val="center"/>
          </w:tcPr>
          <w:p w14:paraId="1F6B6AD3">
            <w:pPr>
              <w:spacing w:line="360" w:lineRule="auto"/>
              <w:rPr>
                <w:rFonts w:hint="eastAsia" w:ascii="宋体" w:hAnsi="宋体" w:cs="Arial"/>
                <w:szCs w:val="21"/>
              </w:rPr>
            </w:pPr>
          </w:p>
        </w:tc>
        <w:tc>
          <w:tcPr>
            <w:tcW w:w="1815" w:type="dxa"/>
            <w:noWrap w:val="0"/>
            <w:vAlign w:val="center"/>
          </w:tcPr>
          <w:p w14:paraId="660F57F2">
            <w:pPr>
              <w:adjustRightInd w:val="0"/>
              <w:snapToGrid w:val="0"/>
              <w:spacing w:line="360" w:lineRule="auto"/>
              <w:rPr>
                <w:rFonts w:hint="eastAsia" w:ascii="宋体" w:hAnsi="宋体"/>
                <w:szCs w:val="21"/>
              </w:rPr>
            </w:pPr>
          </w:p>
        </w:tc>
        <w:tc>
          <w:tcPr>
            <w:tcW w:w="1725" w:type="dxa"/>
            <w:noWrap w:val="0"/>
            <w:vAlign w:val="center"/>
          </w:tcPr>
          <w:p w14:paraId="0CCDB6A7">
            <w:pPr>
              <w:adjustRightInd w:val="0"/>
              <w:snapToGrid w:val="0"/>
              <w:spacing w:line="360" w:lineRule="auto"/>
              <w:rPr>
                <w:rFonts w:hint="eastAsia" w:ascii="宋体" w:hAnsi="宋体"/>
                <w:szCs w:val="21"/>
              </w:rPr>
            </w:pPr>
          </w:p>
        </w:tc>
        <w:tc>
          <w:tcPr>
            <w:tcW w:w="1410" w:type="dxa"/>
            <w:noWrap w:val="0"/>
            <w:vAlign w:val="center"/>
          </w:tcPr>
          <w:p w14:paraId="114ADE5E">
            <w:pPr>
              <w:adjustRightInd w:val="0"/>
              <w:snapToGrid w:val="0"/>
              <w:spacing w:line="360" w:lineRule="auto"/>
              <w:rPr>
                <w:rFonts w:hint="eastAsia" w:ascii="宋体" w:hAnsi="宋体"/>
                <w:szCs w:val="21"/>
              </w:rPr>
            </w:pPr>
          </w:p>
        </w:tc>
      </w:tr>
      <w:tr w14:paraId="050248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trPr>
        <w:tc>
          <w:tcPr>
            <w:tcW w:w="1092" w:type="dxa"/>
            <w:noWrap w:val="0"/>
            <w:vAlign w:val="center"/>
          </w:tcPr>
          <w:p w14:paraId="02AFEBC9">
            <w:pPr>
              <w:adjustRightInd w:val="0"/>
              <w:snapToGrid w:val="0"/>
              <w:spacing w:line="360" w:lineRule="auto"/>
              <w:rPr>
                <w:rFonts w:hint="eastAsia" w:ascii="宋体" w:hAnsi="宋体"/>
                <w:b/>
                <w:bCs/>
                <w:szCs w:val="21"/>
              </w:rPr>
            </w:pPr>
            <w:r>
              <w:rPr>
                <w:rFonts w:hint="eastAsia" w:ascii="宋体" w:hAnsi="宋体"/>
                <w:b/>
                <w:bCs/>
                <w:szCs w:val="21"/>
              </w:rPr>
              <w:t>报价总价</w:t>
            </w:r>
          </w:p>
        </w:tc>
        <w:tc>
          <w:tcPr>
            <w:tcW w:w="7470" w:type="dxa"/>
            <w:gridSpan w:val="4"/>
            <w:noWrap w:val="0"/>
            <w:vAlign w:val="center"/>
          </w:tcPr>
          <w:p w14:paraId="23C98231">
            <w:pPr>
              <w:adjustRightInd w:val="0"/>
              <w:snapToGrid w:val="0"/>
              <w:spacing w:line="360" w:lineRule="auto"/>
              <w:rPr>
                <w:rFonts w:hint="eastAsia" w:ascii="宋体" w:hAnsi="宋体"/>
                <w:b/>
                <w:bCs/>
                <w:szCs w:val="21"/>
              </w:rPr>
            </w:pPr>
            <w:r>
              <w:rPr>
                <w:rFonts w:hint="eastAsia" w:ascii="宋体" w:hAnsi="宋体"/>
                <w:b/>
                <w:bCs/>
                <w:szCs w:val="21"/>
              </w:rPr>
              <w:t>大写：</w:t>
            </w:r>
            <w:r>
              <w:rPr>
                <w:rFonts w:hint="eastAsia" w:ascii="宋体" w:hAnsi="宋体"/>
                <w:b/>
                <w:bCs/>
                <w:strike w:val="0"/>
                <w:dstrike w:val="0"/>
                <w:szCs w:val="21"/>
                <w:u w:val="single"/>
              </w:rPr>
              <w:t xml:space="preserve">                              </w:t>
            </w:r>
            <w:r>
              <w:rPr>
                <w:rFonts w:hint="eastAsia" w:ascii="宋体" w:hAnsi="宋体"/>
                <w:b/>
                <w:bCs/>
                <w:strike w:val="0"/>
                <w:szCs w:val="21"/>
                <w:u w:val="single"/>
              </w:rPr>
              <w:t xml:space="preserve"> </w:t>
            </w:r>
            <w:r>
              <w:rPr>
                <w:rFonts w:hint="eastAsia" w:ascii="宋体" w:hAnsi="宋体"/>
                <w:b/>
                <w:bCs/>
                <w:szCs w:val="21"/>
              </w:rPr>
              <w:t>元整（小写：￥</w:t>
            </w:r>
            <w:r>
              <w:rPr>
                <w:rFonts w:hint="eastAsia" w:ascii="宋体" w:hAnsi="宋体"/>
                <w:b/>
                <w:bCs/>
                <w:szCs w:val="21"/>
                <w:u w:val="single"/>
              </w:rPr>
              <w:t xml:space="preserve">           </w:t>
            </w:r>
            <w:r>
              <w:rPr>
                <w:rFonts w:hint="eastAsia" w:ascii="宋体" w:hAnsi="宋体"/>
                <w:b/>
                <w:bCs/>
                <w:szCs w:val="21"/>
              </w:rPr>
              <w:t>元）</w:t>
            </w:r>
          </w:p>
        </w:tc>
      </w:tr>
    </w:tbl>
    <w:p w14:paraId="22A27DD2">
      <w:pPr>
        <w:rPr>
          <w:rFonts w:hint="eastAsia" w:asciiTheme="minorEastAsia" w:hAnsiTheme="minorEastAsia" w:eastAsiaTheme="minorEastAsia" w:cstheme="minorEastAsia"/>
          <w:sz w:val="21"/>
          <w:szCs w:val="21"/>
          <w:lang w:eastAsia="zh-CN"/>
        </w:rPr>
      </w:pPr>
    </w:p>
    <w:p w14:paraId="62C201E5">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注：</w:t>
      </w:r>
    </w:p>
    <w:p w14:paraId="41388FC4">
      <w:pPr>
        <w:pStyle w:val="5"/>
        <w:numPr>
          <w:ilvl w:val="0"/>
          <w:numId w:val="2"/>
        </w:numPr>
        <w:snapToGrid w:val="0"/>
        <w:spacing w:line="360" w:lineRule="auto"/>
        <w:ind w:left="315" w:leftChars="0" w:right="120" w:rightChars="57" w:hanging="315" w:firstLineChars="0"/>
        <w:jc w:val="left"/>
      </w:pPr>
      <w:r>
        <w:t>此表的总计系</w:t>
      </w:r>
      <w:r>
        <w:rPr>
          <w:rFonts w:hint="eastAsia"/>
        </w:rPr>
        <w:t>该项目所需费用含</w:t>
      </w:r>
      <w:r>
        <w:t>相关</w:t>
      </w:r>
      <w:r>
        <w:rPr>
          <w:rFonts w:hint="eastAsia"/>
        </w:rPr>
        <w:t>货物、劳务、保险、</w:t>
      </w:r>
      <w:r>
        <w:t>服务</w:t>
      </w:r>
      <w:r>
        <w:rPr>
          <w:rFonts w:hint="eastAsia"/>
        </w:rPr>
        <w:t>、交通费、管理费、安装、税费等在内的全部一切费用，</w:t>
      </w:r>
      <w:r>
        <w:t>金额总数即报价总价。</w:t>
      </w:r>
    </w:p>
    <w:p w14:paraId="4A3F7475">
      <w:pPr>
        <w:pStyle w:val="5"/>
        <w:numPr>
          <w:ilvl w:val="0"/>
          <w:numId w:val="2"/>
        </w:numPr>
        <w:snapToGrid w:val="0"/>
        <w:spacing w:line="360" w:lineRule="auto"/>
        <w:ind w:left="316" w:leftChars="0" w:right="120" w:rightChars="57" w:hanging="316" w:firstLineChars="0"/>
        <w:jc w:val="left"/>
        <w:rPr>
          <w:rFonts w:hint="eastAsia"/>
          <w:b/>
          <w:bCs/>
        </w:rPr>
      </w:pPr>
      <w:r>
        <w:rPr>
          <w:rFonts w:hint="eastAsia"/>
          <w:b/>
          <w:bCs/>
        </w:rPr>
        <w:t>分项报价按照采购人要求(或采购需求）格式进行报价。</w:t>
      </w:r>
    </w:p>
    <w:p w14:paraId="4828E2AB">
      <w:pPr>
        <w:spacing w:line="360" w:lineRule="auto"/>
        <w:rPr>
          <w:rFonts w:hint="eastAsia" w:ascii="宋体" w:hAnsi="宋体"/>
          <w:szCs w:val="21"/>
        </w:rPr>
      </w:pPr>
      <w:r>
        <w:rPr>
          <w:rFonts w:hint="eastAsia" w:ascii="宋体" w:hAnsi="宋体"/>
          <w:szCs w:val="21"/>
        </w:rPr>
        <w:t>报价人名称（加盖公章）：</w:t>
      </w:r>
    </w:p>
    <w:p w14:paraId="7E517A77">
      <w:pPr>
        <w:spacing w:line="360" w:lineRule="auto"/>
        <w:rPr>
          <w:rFonts w:hint="eastAsia" w:ascii="宋体" w:hAnsi="宋体"/>
          <w:szCs w:val="21"/>
        </w:rPr>
      </w:pPr>
      <w:r>
        <w:rPr>
          <w:rFonts w:hint="eastAsia" w:ascii="宋体" w:hAnsi="宋体" w:cs="Arial"/>
          <w:szCs w:val="21"/>
        </w:rPr>
        <w:t>报价人法定代表人或其委托人签字：</w:t>
      </w:r>
      <w:r>
        <w:rPr>
          <w:rFonts w:ascii="宋体" w:hAnsi="宋体"/>
          <w:szCs w:val="21"/>
        </w:rPr>
        <w:t xml:space="preserve"> _____________</w:t>
      </w:r>
    </w:p>
    <w:p w14:paraId="5D4AAB75">
      <w:pPr>
        <w:spacing w:line="360" w:lineRule="auto"/>
        <w:rPr>
          <w:rFonts w:hint="eastAsia" w:ascii="宋体" w:hAnsi="宋体"/>
          <w:szCs w:val="21"/>
        </w:rPr>
      </w:pPr>
      <w:r>
        <w:rPr>
          <w:rFonts w:hint="eastAsia" w:ascii="宋体" w:hAnsi="宋体"/>
          <w:szCs w:val="21"/>
        </w:rPr>
        <w:t>日  期：</w:t>
      </w:r>
    </w:p>
    <w:p w14:paraId="31D563D7">
      <w:pPr>
        <w:rPr>
          <w:rFonts w:hint="eastAsia" w:asciiTheme="minorEastAsia" w:hAnsiTheme="minorEastAsia" w:eastAsiaTheme="minorEastAsia" w:cstheme="minorEastAsia"/>
          <w:sz w:val="21"/>
          <w:szCs w:val="21"/>
          <w:lang w:eastAsia="zh-CN"/>
        </w:rPr>
      </w:pPr>
    </w:p>
    <w:p w14:paraId="73D43992">
      <w:pPr>
        <w:rPr>
          <w:rFonts w:hint="eastAsia" w:asciiTheme="minorEastAsia" w:hAnsiTheme="minorEastAsia" w:eastAsiaTheme="minorEastAsia" w:cstheme="minorEastAsia"/>
          <w:sz w:val="21"/>
          <w:szCs w:val="21"/>
          <w:lang w:eastAsia="zh-CN"/>
        </w:rPr>
      </w:pPr>
    </w:p>
    <w:p w14:paraId="7E6EB74E">
      <w:pPr>
        <w:rPr>
          <w:rFonts w:hint="eastAsia" w:asciiTheme="minorEastAsia" w:hAnsiTheme="minorEastAsia" w:eastAsiaTheme="minorEastAsia" w:cstheme="minorEastAsia"/>
          <w:sz w:val="21"/>
          <w:szCs w:val="21"/>
          <w:lang w:eastAsia="zh-CN"/>
        </w:rPr>
      </w:pPr>
    </w:p>
    <w:p w14:paraId="62346187">
      <w:pPr>
        <w:rPr>
          <w:rFonts w:hint="eastAsia" w:asciiTheme="minorEastAsia" w:hAnsiTheme="minorEastAsia" w:eastAsiaTheme="minorEastAsia" w:cstheme="minorEastAsia"/>
          <w:sz w:val="21"/>
          <w:szCs w:val="21"/>
          <w:lang w:eastAsia="zh-CN"/>
        </w:rPr>
      </w:pPr>
    </w:p>
    <w:p w14:paraId="7702B014">
      <w:pPr>
        <w:rPr>
          <w:rFonts w:hint="eastAsia" w:asciiTheme="minorEastAsia" w:hAnsiTheme="minorEastAsia" w:eastAsiaTheme="minorEastAsia" w:cstheme="minorEastAsia"/>
          <w:sz w:val="21"/>
          <w:szCs w:val="21"/>
          <w:lang w:eastAsia="zh-CN"/>
        </w:rPr>
      </w:pPr>
    </w:p>
    <w:p w14:paraId="6DA9620B">
      <w:pPr>
        <w:rPr>
          <w:rFonts w:hint="eastAsia" w:asciiTheme="minorEastAsia" w:hAnsiTheme="minorEastAsia" w:eastAsiaTheme="minorEastAsia" w:cstheme="minorEastAsia"/>
          <w:sz w:val="21"/>
          <w:szCs w:val="21"/>
          <w:lang w:eastAsia="zh-CN"/>
        </w:rPr>
      </w:pPr>
    </w:p>
    <w:p w14:paraId="33D0BD1B">
      <w:pPr>
        <w:rPr>
          <w:rFonts w:hint="eastAsia" w:asciiTheme="minorEastAsia" w:hAnsiTheme="minorEastAsia" w:eastAsiaTheme="minorEastAsia" w:cstheme="minorEastAsia"/>
          <w:sz w:val="21"/>
          <w:szCs w:val="21"/>
          <w:lang w:eastAsia="zh-CN"/>
        </w:rPr>
      </w:pPr>
    </w:p>
    <w:p w14:paraId="32C90DBD">
      <w:pPr>
        <w:rPr>
          <w:rFonts w:hint="eastAsia" w:asciiTheme="minorEastAsia" w:hAnsiTheme="minorEastAsia" w:eastAsiaTheme="minorEastAsia" w:cstheme="minorEastAsia"/>
          <w:sz w:val="21"/>
          <w:szCs w:val="21"/>
          <w:lang w:eastAsia="zh-CN"/>
        </w:rPr>
      </w:pPr>
    </w:p>
    <w:p w14:paraId="3054DEC8">
      <w:pPr>
        <w:rPr>
          <w:rFonts w:hint="eastAsia" w:asciiTheme="minorEastAsia" w:hAnsiTheme="minorEastAsia" w:eastAsiaTheme="minorEastAsia" w:cstheme="minorEastAsia"/>
          <w:sz w:val="21"/>
          <w:szCs w:val="21"/>
          <w:lang w:eastAsia="zh-CN"/>
        </w:rPr>
      </w:pPr>
    </w:p>
    <w:p w14:paraId="515AFF96">
      <w:pPr>
        <w:rPr>
          <w:rFonts w:hint="eastAsia" w:asciiTheme="minorEastAsia" w:hAnsiTheme="minorEastAsia" w:eastAsiaTheme="minorEastAsia" w:cstheme="minorEastAsia"/>
          <w:sz w:val="21"/>
          <w:szCs w:val="21"/>
          <w:lang w:eastAsia="zh-CN"/>
        </w:rPr>
      </w:pPr>
    </w:p>
    <w:p w14:paraId="3F1768FA">
      <w:pPr>
        <w:rPr>
          <w:rFonts w:hint="eastAsia" w:asciiTheme="minorEastAsia" w:hAnsiTheme="minorEastAsia" w:eastAsiaTheme="minorEastAsia" w:cstheme="minorEastAsia"/>
          <w:sz w:val="21"/>
          <w:szCs w:val="21"/>
          <w:lang w:eastAsia="zh-CN"/>
        </w:rPr>
      </w:pPr>
    </w:p>
    <w:p w14:paraId="4102EBD3">
      <w:pPr>
        <w:rPr>
          <w:rFonts w:hint="eastAsia" w:asciiTheme="minorEastAsia" w:hAnsiTheme="minorEastAsia" w:eastAsiaTheme="minorEastAsia" w:cstheme="minorEastAsia"/>
          <w:sz w:val="21"/>
          <w:szCs w:val="21"/>
          <w:lang w:eastAsia="zh-CN"/>
        </w:rPr>
      </w:pPr>
    </w:p>
    <w:p w14:paraId="22081080">
      <w:pPr>
        <w:rPr>
          <w:rFonts w:hint="eastAsia" w:asciiTheme="minorEastAsia" w:hAnsiTheme="minorEastAsia" w:eastAsiaTheme="minorEastAsia" w:cstheme="minorEastAsia"/>
          <w:sz w:val="21"/>
          <w:szCs w:val="21"/>
          <w:lang w:eastAsia="zh-CN"/>
        </w:rPr>
      </w:pPr>
    </w:p>
    <w:p w14:paraId="11EA7DFB">
      <w:pPr>
        <w:rPr>
          <w:rFonts w:hint="eastAsia" w:asciiTheme="minorEastAsia" w:hAnsiTheme="minorEastAsia" w:eastAsiaTheme="minorEastAsia" w:cstheme="minorEastAsia"/>
          <w:sz w:val="21"/>
          <w:szCs w:val="21"/>
          <w:lang w:eastAsia="zh-CN"/>
        </w:rPr>
      </w:pPr>
    </w:p>
    <w:p w14:paraId="09E72DE5">
      <w:pPr>
        <w:rPr>
          <w:rFonts w:hint="eastAsia" w:asciiTheme="minorEastAsia" w:hAnsiTheme="minorEastAsia" w:eastAsiaTheme="minorEastAsia" w:cstheme="minorEastAsia"/>
          <w:sz w:val="21"/>
          <w:szCs w:val="21"/>
          <w:lang w:eastAsia="zh-CN"/>
        </w:rPr>
      </w:pPr>
    </w:p>
    <w:p w14:paraId="56455D08">
      <w:pPr>
        <w:rPr>
          <w:rFonts w:hint="eastAsia" w:asciiTheme="minorEastAsia" w:hAnsiTheme="minorEastAsia" w:eastAsiaTheme="minorEastAsia" w:cstheme="minorEastAsia"/>
          <w:sz w:val="21"/>
          <w:szCs w:val="21"/>
          <w:lang w:eastAsia="zh-CN"/>
        </w:rPr>
      </w:pPr>
    </w:p>
    <w:p w14:paraId="780C770A">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表5  服务方案和承诺</w:t>
      </w:r>
    </w:p>
    <w:p w14:paraId="78413F5B">
      <w:pPr>
        <w:rPr>
          <w:rFonts w:hint="eastAsia" w:asciiTheme="minorEastAsia" w:hAnsiTheme="minorEastAsia" w:eastAsiaTheme="minorEastAsia" w:cstheme="minorEastAsia"/>
          <w:sz w:val="21"/>
          <w:szCs w:val="21"/>
          <w:lang w:eastAsia="zh-CN"/>
        </w:rPr>
      </w:pPr>
    </w:p>
    <w:p w14:paraId="7D379747">
      <w:pP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主要内容应包括但不限于采购需求部分（格式自定）：</w:t>
      </w:r>
    </w:p>
    <w:p w14:paraId="1A21A1DA">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1.人员配置</w:t>
      </w:r>
    </w:p>
    <w:p w14:paraId="38774C46">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2.提供服务及其实施措施；</w:t>
      </w:r>
    </w:p>
    <w:p w14:paraId="6B1ABD78">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3.须采购人配合事项；</w:t>
      </w:r>
    </w:p>
    <w:p w14:paraId="50B703AB">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4.根据项目需求逐项作出承诺；</w:t>
      </w:r>
    </w:p>
    <w:p w14:paraId="0D17087E">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5.供应商的其他资料。</w:t>
      </w:r>
    </w:p>
    <w:p w14:paraId="50C0BB80">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报价</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承诺书所承诺内容包含但不限于上述要素</w:t>
      </w:r>
    </w:p>
    <w:p w14:paraId="1B62A9D8">
      <w:pPr>
        <w:rPr>
          <w:rFonts w:hint="eastAsia" w:asciiTheme="minorEastAsia" w:hAnsiTheme="minorEastAsia" w:eastAsiaTheme="minorEastAsia" w:cstheme="minorEastAsia"/>
          <w:sz w:val="21"/>
          <w:szCs w:val="21"/>
          <w:lang w:eastAsia="zh-CN"/>
        </w:rPr>
      </w:pPr>
    </w:p>
    <w:p w14:paraId="2FECF105">
      <w:pPr>
        <w:rPr>
          <w:rFonts w:hint="eastAsia" w:asciiTheme="minorEastAsia" w:hAnsiTheme="minorEastAsia" w:eastAsiaTheme="minorEastAsia" w:cstheme="minorEastAsia"/>
          <w:sz w:val="21"/>
          <w:szCs w:val="21"/>
          <w:lang w:eastAsia="zh-CN"/>
        </w:rPr>
      </w:pPr>
    </w:p>
    <w:p w14:paraId="713F2E63">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供应商名称（</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盖公章）：</w:t>
      </w:r>
    </w:p>
    <w:p w14:paraId="25AF5C4F">
      <w:pPr>
        <w:rPr>
          <w:rFonts w:hint="eastAsia" w:asciiTheme="minorEastAsia" w:hAnsiTheme="minorEastAsia" w:eastAsiaTheme="minorEastAsia" w:cstheme="minorEastAsia"/>
          <w:sz w:val="21"/>
          <w:szCs w:val="21"/>
          <w:lang w:eastAsia="zh-CN"/>
        </w:rPr>
      </w:pPr>
    </w:p>
    <w:p w14:paraId="47A7A619">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法定代表人或其授权代表签名：                    </w:t>
      </w:r>
    </w:p>
    <w:p w14:paraId="7C816FF8">
      <w:pPr>
        <w:rPr>
          <w:rFonts w:hint="eastAsia" w:asciiTheme="minorEastAsia" w:hAnsiTheme="minorEastAsia" w:eastAsiaTheme="minorEastAsia" w:cstheme="minorEastAsia"/>
          <w:sz w:val="21"/>
          <w:szCs w:val="21"/>
          <w:lang w:eastAsia="zh-CN"/>
        </w:rPr>
      </w:pPr>
    </w:p>
    <w:p w14:paraId="6D95EC34">
      <w:pPr>
        <w:pStyle w:val="9"/>
        <w:rPr>
          <w:rFonts w:ascii="微软雅黑" w:hAnsi="微软雅黑" w:eastAsia="微软雅黑"/>
        </w:rPr>
      </w:pPr>
      <w:r>
        <w:rPr>
          <w:rFonts w:hint="eastAsia" w:asciiTheme="minorEastAsia" w:hAnsiTheme="minorEastAsia" w:eastAsiaTheme="minorEastAsia" w:cstheme="minorEastAsia"/>
          <w:sz w:val="21"/>
          <w:szCs w:val="21"/>
          <w:lang w:eastAsia="zh-CN"/>
        </w:rPr>
        <w:t>日 期：</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BBBE72B-A109-436D-B610-65A80F4481AE}"/>
  </w:font>
  <w:font w:name="黑体">
    <w:panose1 w:val="02010609060101010101"/>
    <w:charset w:val="86"/>
    <w:family w:val="auto"/>
    <w:pitch w:val="default"/>
    <w:sig w:usb0="800002BF" w:usb1="38CF7CFA" w:usb2="00000016" w:usb3="00000000" w:csb0="00040001" w:csb1="00000000"/>
    <w:embedRegular r:id="rId2" w:fontKey="{47D74555-5C67-4EF5-A64F-ABAF44696D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3F590852-047E-4B90-96E2-82031E377432}"/>
  </w:font>
  <w:font w:name="隶书">
    <w:altName w:val="微软雅黑"/>
    <w:panose1 w:val="02010509060101010101"/>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embedRegular r:id="rId4" w:fontKey="{E37B9DBD-8E2D-4A60-B0AB-A51120C2BEE9}"/>
  </w:font>
  <w:font w:name="汉仪中黑简">
    <w:panose1 w:val="02010600000101010101"/>
    <w:charset w:val="86"/>
    <w:family w:val="auto"/>
    <w:pitch w:val="default"/>
    <w:sig w:usb0="00000001" w:usb1="080E0800" w:usb2="00000002" w:usb3="00000000" w:csb0="00040000" w:csb1="00000000"/>
    <w:embedRegular r:id="rId5" w:fontKey="{1B627503-2DCE-4ABA-A0BA-A4E0C385ACFB}"/>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745E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0AFB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40AFB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8E8A8"/>
    <w:multiLevelType w:val="multilevel"/>
    <w:tmpl w:val="FCF8E8A8"/>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default" w:ascii="宋体" w:hAnsi="宋体" w:eastAsia="宋体" w:cstheme="minorEastAsia"/>
        <w:b w:val="0"/>
        <w:bCs w:val="0"/>
        <w:sz w:val="24"/>
        <w:szCs w:val="24"/>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5AFEB178"/>
    <w:multiLevelType w:val="singleLevel"/>
    <w:tmpl w:val="5AFEB178"/>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1NzUyNDIxZTY3YmUwZjAxMGM0ZjhjNDRhMDMzMjIifQ=="/>
  </w:docVars>
  <w:rsids>
    <w:rsidRoot w:val="002C1EB5"/>
    <w:rsid w:val="000134B6"/>
    <w:rsid w:val="000B1287"/>
    <w:rsid w:val="000D2793"/>
    <w:rsid w:val="00242EC6"/>
    <w:rsid w:val="00243038"/>
    <w:rsid w:val="002904BB"/>
    <w:rsid w:val="002C1EB5"/>
    <w:rsid w:val="00300379"/>
    <w:rsid w:val="00312EFC"/>
    <w:rsid w:val="00351E2D"/>
    <w:rsid w:val="003A6E17"/>
    <w:rsid w:val="003B7586"/>
    <w:rsid w:val="00454559"/>
    <w:rsid w:val="00505BA6"/>
    <w:rsid w:val="005757E7"/>
    <w:rsid w:val="00593142"/>
    <w:rsid w:val="0063377E"/>
    <w:rsid w:val="0063416A"/>
    <w:rsid w:val="006F214A"/>
    <w:rsid w:val="00720DB7"/>
    <w:rsid w:val="007B02A6"/>
    <w:rsid w:val="007D5F57"/>
    <w:rsid w:val="00823789"/>
    <w:rsid w:val="00910BBB"/>
    <w:rsid w:val="00986912"/>
    <w:rsid w:val="009D1A03"/>
    <w:rsid w:val="009E71B9"/>
    <w:rsid w:val="00A61092"/>
    <w:rsid w:val="00A77D14"/>
    <w:rsid w:val="00D12AD2"/>
    <w:rsid w:val="00DA6160"/>
    <w:rsid w:val="00E76AB3"/>
    <w:rsid w:val="00FF3A11"/>
    <w:rsid w:val="066F614A"/>
    <w:rsid w:val="096343C5"/>
    <w:rsid w:val="0A20501F"/>
    <w:rsid w:val="0AF74548"/>
    <w:rsid w:val="0FEE78CD"/>
    <w:rsid w:val="13872B27"/>
    <w:rsid w:val="13A252B3"/>
    <w:rsid w:val="151439D2"/>
    <w:rsid w:val="1600573D"/>
    <w:rsid w:val="1688195D"/>
    <w:rsid w:val="17DE1280"/>
    <w:rsid w:val="1A4F2543"/>
    <w:rsid w:val="1FF468DA"/>
    <w:rsid w:val="216923C7"/>
    <w:rsid w:val="2AD92954"/>
    <w:rsid w:val="2F983443"/>
    <w:rsid w:val="317F364C"/>
    <w:rsid w:val="322D2222"/>
    <w:rsid w:val="32AE2918"/>
    <w:rsid w:val="32B91648"/>
    <w:rsid w:val="3A900623"/>
    <w:rsid w:val="3D98059B"/>
    <w:rsid w:val="40037848"/>
    <w:rsid w:val="4012471B"/>
    <w:rsid w:val="48B85F79"/>
    <w:rsid w:val="48E829AC"/>
    <w:rsid w:val="4A0A01F6"/>
    <w:rsid w:val="4C29594F"/>
    <w:rsid w:val="4C7664D1"/>
    <w:rsid w:val="4E110ACB"/>
    <w:rsid w:val="4F84695F"/>
    <w:rsid w:val="52154D37"/>
    <w:rsid w:val="55530C3C"/>
    <w:rsid w:val="5669507B"/>
    <w:rsid w:val="59E950F3"/>
    <w:rsid w:val="5A572D3E"/>
    <w:rsid w:val="5B29680B"/>
    <w:rsid w:val="5EA63358"/>
    <w:rsid w:val="640A5DBF"/>
    <w:rsid w:val="64EA5182"/>
    <w:rsid w:val="6A010552"/>
    <w:rsid w:val="6EED08A1"/>
    <w:rsid w:val="765A3553"/>
    <w:rsid w:val="77954AC0"/>
    <w:rsid w:val="782E1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adjustRightInd w:val="0"/>
      <w:snapToGrid w:val="0"/>
      <w:spacing w:before="156" w:beforeLines="50" w:after="156" w:afterLines="50" w:line="360" w:lineRule="auto"/>
      <w:jc w:val="center"/>
      <w:outlineLvl w:val="1"/>
    </w:pPr>
    <w:rPr>
      <w:rFonts w:ascii="宋体" w:hAnsi="宋体" w:cs="Arial"/>
      <w:b/>
      <w:sz w:val="28"/>
      <w:szCs w:val="21"/>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autoRedefine/>
    <w:qFormat/>
    <w:uiPriority w:val="0"/>
    <w:rPr>
      <w:rFonts w:ascii="宋体" w:hAnsi="Courier New"/>
    </w:rPr>
  </w:style>
  <w:style w:type="paragraph" w:styleId="6">
    <w:name w:val="footer"/>
    <w:basedOn w:val="1"/>
    <w:link w:val="15"/>
    <w:autoRedefine/>
    <w:unhideWhenUsed/>
    <w:qFormat/>
    <w:uiPriority w:val="99"/>
    <w:pPr>
      <w:tabs>
        <w:tab w:val="center" w:pos="4153"/>
        <w:tab w:val="right" w:pos="8306"/>
      </w:tabs>
      <w:snapToGrid w:val="0"/>
      <w:jc w:val="left"/>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0"/>
    <w:pPr>
      <w:ind w:left="420" w:leftChars="200"/>
    </w:pPr>
  </w:style>
  <w:style w:type="paragraph" w:styleId="9">
    <w:name w:val="Normal (Web)"/>
    <w:basedOn w:val="1"/>
    <w:autoRedefine/>
    <w:unhideWhenUsed/>
    <w:qFormat/>
    <w:uiPriority w:val="99"/>
    <w:pPr>
      <w:widowControl/>
      <w:spacing w:after="300" w:line="480" w:lineRule="atLeast"/>
      <w:jc w:val="left"/>
    </w:pPr>
    <w:rPr>
      <w:rFonts w:ascii="宋体" w:hAnsi="宋体" w:eastAsia="宋体" w:cs="宋体"/>
      <w:color w:val="333333"/>
      <w:kern w:val="0"/>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22"/>
    <w:rPr>
      <w:b/>
      <w:bCs/>
    </w:rPr>
  </w:style>
  <w:style w:type="character" w:customStyle="1" w:styleId="14">
    <w:name w:val="页眉 字符"/>
    <w:basedOn w:val="12"/>
    <w:link w:val="7"/>
    <w:autoRedefine/>
    <w:qFormat/>
    <w:uiPriority w:val="99"/>
    <w:rPr>
      <w:sz w:val="18"/>
      <w:szCs w:val="18"/>
    </w:rPr>
  </w:style>
  <w:style w:type="character" w:customStyle="1" w:styleId="15">
    <w:name w:val="页脚 字符"/>
    <w:basedOn w:val="12"/>
    <w:link w:val="6"/>
    <w:autoRedefine/>
    <w:qFormat/>
    <w:uiPriority w:val="99"/>
    <w:rPr>
      <w:sz w:val="18"/>
      <w:szCs w:val="18"/>
    </w:rPr>
  </w:style>
  <w:style w:type="paragraph" w:styleId="16">
    <w:name w:val="List Paragraph"/>
    <w:basedOn w:val="1"/>
    <w:autoRedefine/>
    <w:qFormat/>
    <w:uiPriority w:val="34"/>
    <w:pPr>
      <w:ind w:firstLine="420" w:firstLineChars="200"/>
    </w:pPr>
  </w:style>
  <w:style w:type="character" w:customStyle="1" w:styleId="17">
    <w:name w:val="font51"/>
    <w:basedOn w:val="12"/>
    <w:autoRedefine/>
    <w:qFormat/>
    <w:uiPriority w:val="0"/>
    <w:rPr>
      <w:rFonts w:ascii="宋体" w:hAnsi="宋体" w:eastAsia="宋体" w:cs="宋体"/>
      <w:b/>
      <w:bCs/>
      <w:color w:val="000000"/>
      <w:sz w:val="16"/>
      <w:szCs w:val="16"/>
      <w:u w:val="none"/>
    </w:rPr>
  </w:style>
  <w:style w:type="character" w:customStyle="1" w:styleId="18">
    <w:name w:val="font41"/>
    <w:basedOn w:val="12"/>
    <w:autoRedefine/>
    <w:qFormat/>
    <w:uiPriority w:val="0"/>
    <w:rPr>
      <w:rFonts w:ascii="宋体" w:hAnsi="宋体" w:eastAsia="宋体" w:cs="宋体"/>
      <w:color w:val="000000"/>
      <w:sz w:val="16"/>
      <w:szCs w:val="16"/>
      <w:u w:val="none"/>
    </w:rPr>
  </w:style>
  <w:style w:type="character" w:customStyle="1" w:styleId="19">
    <w:name w:val="font21"/>
    <w:basedOn w:val="12"/>
    <w:autoRedefine/>
    <w:qFormat/>
    <w:uiPriority w:val="0"/>
    <w:rPr>
      <w:rFonts w:ascii="宋体" w:hAnsi="宋体" w:eastAsia="宋体" w:cs="宋体"/>
      <w:color w:val="000000"/>
      <w:sz w:val="8"/>
      <w:szCs w:val="8"/>
      <w:u w:val="none"/>
    </w:rPr>
  </w:style>
  <w:style w:type="character" w:customStyle="1" w:styleId="20">
    <w:name w:val="font61"/>
    <w:basedOn w:val="12"/>
    <w:autoRedefine/>
    <w:qFormat/>
    <w:uiPriority w:val="0"/>
    <w:rPr>
      <w:rFonts w:ascii="宋体" w:hAnsi="宋体" w:eastAsia="宋体" w:cs="宋体"/>
      <w:b/>
      <w:bCs/>
      <w:color w:val="000000"/>
      <w:sz w:val="10"/>
      <w:szCs w:val="10"/>
      <w:u w:val="none"/>
    </w:rPr>
  </w:style>
  <w:style w:type="character" w:customStyle="1" w:styleId="21">
    <w:name w:val="font71"/>
    <w:basedOn w:val="12"/>
    <w:autoRedefine/>
    <w:qFormat/>
    <w:uiPriority w:val="0"/>
    <w:rPr>
      <w:rFonts w:ascii="黑体" w:hAnsi="宋体" w:eastAsia="黑体" w:cs="黑体"/>
      <w:b/>
      <w:bCs/>
      <w:color w:val="000000"/>
      <w:sz w:val="12"/>
      <w:szCs w:val="12"/>
      <w:u w:val="none"/>
    </w:rPr>
  </w:style>
  <w:style w:type="character" w:customStyle="1" w:styleId="22">
    <w:name w:val="font31"/>
    <w:basedOn w:val="12"/>
    <w:autoRedefine/>
    <w:qFormat/>
    <w:uiPriority w:val="0"/>
    <w:rPr>
      <w:rFonts w:ascii="宋体" w:hAnsi="宋体" w:eastAsia="宋体" w:cs="宋体"/>
      <w:color w:val="000000"/>
      <w:sz w:val="8"/>
      <w:szCs w:val="8"/>
      <w:u w:val="none"/>
    </w:rPr>
  </w:style>
  <w:style w:type="character" w:customStyle="1" w:styleId="23">
    <w:name w:val="font81"/>
    <w:basedOn w:val="12"/>
    <w:autoRedefine/>
    <w:qFormat/>
    <w:uiPriority w:val="0"/>
    <w:rPr>
      <w:rFonts w:hint="default" w:ascii="Arial" w:hAnsi="Arial" w:cs="Arial"/>
      <w:color w:val="000000"/>
      <w:sz w:val="7"/>
      <w:szCs w:val="7"/>
      <w:u w:val="none"/>
    </w:rPr>
  </w:style>
  <w:style w:type="character" w:customStyle="1" w:styleId="24">
    <w:name w:val="font91"/>
    <w:basedOn w:val="12"/>
    <w:autoRedefine/>
    <w:qFormat/>
    <w:uiPriority w:val="0"/>
    <w:rPr>
      <w:rFonts w:ascii="隶书" w:hAnsi="隶书" w:eastAsia="隶书" w:cs="隶书"/>
      <w:color w:val="000000"/>
      <w:sz w:val="8"/>
      <w:szCs w:val="8"/>
      <w:u w:val="none"/>
    </w:rPr>
  </w:style>
  <w:style w:type="character" w:customStyle="1" w:styleId="25">
    <w:name w:val="font101"/>
    <w:basedOn w:val="12"/>
    <w:autoRedefine/>
    <w:qFormat/>
    <w:uiPriority w:val="0"/>
    <w:rPr>
      <w:rFonts w:hint="default" w:ascii="Arial" w:hAnsi="Arial" w:cs="Arial"/>
      <w:color w:val="000000"/>
      <w:sz w:val="8"/>
      <w:szCs w:val="8"/>
      <w:u w:val="none"/>
    </w:rPr>
  </w:style>
  <w:style w:type="character" w:customStyle="1" w:styleId="26">
    <w:name w:val="font112"/>
    <w:basedOn w:val="12"/>
    <w:autoRedefine/>
    <w:qFormat/>
    <w:uiPriority w:val="0"/>
    <w:rPr>
      <w:rFonts w:ascii="宋体" w:hAnsi="宋体" w:eastAsia="宋体" w:cs="宋体"/>
      <w:color w:val="533A37"/>
      <w:sz w:val="8"/>
      <w:szCs w:val="8"/>
      <w:u w:val="none"/>
    </w:rPr>
  </w:style>
  <w:style w:type="character" w:customStyle="1" w:styleId="27">
    <w:name w:val="font121"/>
    <w:basedOn w:val="12"/>
    <w:autoRedefine/>
    <w:qFormat/>
    <w:uiPriority w:val="0"/>
    <w:rPr>
      <w:rFonts w:hint="default" w:ascii="Arial" w:hAnsi="Arial" w:cs="Arial"/>
      <w:color w:val="000000"/>
      <w:sz w:val="12"/>
      <w:szCs w:val="12"/>
      <w:u w:val="none"/>
    </w:rPr>
  </w:style>
  <w:style w:type="character" w:customStyle="1" w:styleId="28">
    <w:name w:val="font131"/>
    <w:basedOn w:val="12"/>
    <w:autoRedefine/>
    <w:qFormat/>
    <w:uiPriority w:val="0"/>
    <w:rPr>
      <w:rFonts w:ascii="宋体" w:hAnsi="宋体" w:eastAsia="宋体" w:cs="宋体"/>
      <w:color w:val="000000"/>
      <w:sz w:val="12"/>
      <w:szCs w:val="12"/>
      <w:u w:val="none"/>
    </w:rPr>
  </w:style>
  <w:style w:type="character" w:customStyle="1" w:styleId="29">
    <w:name w:val="font141"/>
    <w:basedOn w:val="12"/>
    <w:autoRedefine/>
    <w:qFormat/>
    <w:uiPriority w:val="0"/>
    <w:rPr>
      <w:rFonts w:ascii="宋体" w:hAnsi="宋体" w:eastAsia="宋体" w:cs="宋体"/>
      <w:color w:val="765E36"/>
      <w:sz w:val="8"/>
      <w:szCs w:val="8"/>
      <w:u w:val="none"/>
    </w:rPr>
  </w:style>
  <w:style w:type="character" w:customStyle="1" w:styleId="30">
    <w:name w:val="font151"/>
    <w:basedOn w:val="12"/>
    <w:autoRedefine/>
    <w:qFormat/>
    <w:uiPriority w:val="0"/>
    <w:rPr>
      <w:rFonts w:hint="default" w:ascii="Times New Roman" w:hAnsi="Times New Roman" w:cs="Times New Roman"/>
      <w:b/>
      <w:bCs/>
      <w:color w:val="000000"/>
      <w:sz w:val="12"/>
      <w:szCs w:val="12"/>
      <w:u w:val="none"/>
    </w:rPr>
  </w:style>
  <w:style w:type="character" w:customStyle="1" w:styleId="31">
    <w:name w:val="font11"/>
    <w:basedOn w:val="12"/>
    <w:autoRedefine/>
    <w:qFormat/>
    <w:uiPriority w:val="0"/>
    <w:rPr>
      <w:rFonts w:hint="eastAsia" w:ascii="宋体" w:hAnsi="宋体" w:eastAsia="宋体" w:cs="宋体"/>
      <w:color w:val="000000"/>
      <w:sz w:val="20"/>
      <w:szCs w:val="20"/>
      <w:u w:val="none"/>
    </w:rPr>
  </w:style>
  <w:style w:type="character" w:customStyle="1" w:styleId="32">
    <w:name w:val="font01"/>
    <w:basedOn w:val="12"/>
    <w:autoRedefine/>
    <w:qFormat/>
    <w:uiPriority w:val="0"/>
    <w:rPr>
      <w:rFonts w:hint="default" w:ascii="Arial" w:hAnsi="Arial" w:cs="Arial"/>
      <w:color w:val="000000"/>
      <w:sz w:val="20"/>
      <w:szCs w:val="20"/>
      <w:u w:val="none"/>
    </w:rPr>
  </w:style>
  <w:style w:type="paragraph" w:customStyle="1" w:styleId="33">
    <w:name w:val="图"/>
    <w:basedOn w:val="1"/>
    <w:qFormat/>
    <w:uiPriority w:val="0"/>
    <w:pPr>
      <w:keepNext/>
      <w:widowControl w:val="0"/>
      <w:adjustRightInd w:val="0"/>
      <w:spacing w:before="60" w:beforeLines="0" w:after="60" w:afterLines="0" w:line="300" w:lineRule="auto"/>
      <w:jc w:val="center"/>
      <w:textAlignment w:val="center"/>
    </w:pPr>
    <w:rPr>
      <w:snapToGrid w:val="0"/>
      <w:spacing w:val="20"/>
      <w:sz w:val="24"/>
    </w:rPr>
  </w:style>
  <w:style w:type="paragraph" w:customStyle="1" w:styleId="34">
    <w:name w:val="Table Text"/>
    <w:basedOn w:val="1"/>
    <w:semiHidden/>
    <w:qFormat/>
    <w:uiPriority w:val="0"/>
    <w:rPr>
      <w:rFonts w:ascii="宋体" w:hAnsi="宋体" w:eastAsia="宋体" w:cs="宋体"/>
      <w:sz w:val="24"/>
      <w:szCs w:val="24"/>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条例缩进"/>
    <w:qFormat/>
    <w:uiPriority w:val="0"/>
    <w:pPr>
      <w:spacing w:after="0" w:line="360" w:lineRule="auto"/>
      <w:ind w:left="200" w:leftChars="200"/>
    </w:pPr>
    <w:rPr>
      <w:rFonts w:ascii="Times New Roman" w:hAnsi="Times New Roman" w:eastAsia="宋体" w:cstheme="minorBidi"/>
      <w:color w:val="000000"/>
      <w:kern w:val="0"/>
      <w:sz w:val="21"/>
      <w:szCs w:val="22"/>
      <w:lang w:val="en-US" w:eastAsia="zh-CN" w:bidi="ar-SA"/>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4583</Words>
  <Characters>4820</Characters>
  <Lines>52</Lines>
  <Paragraphs>14</Paragraphs>
  <TotalTime>6</TotalTime>
  <ScaleCrop>false</ScaleCrop>
  <LinksUpToDate>false</LinksUpToDate>
  <CharactersWithSpaces>5394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2024-12-02T09:19:00Z</dcterms:created>
  <dc:creator>Administrator</dc:creator>
  <cp:lastModifiedBy>韩美臣</cp:lastModifiedBy>
  <cp:lastPrinted>2024-12-25T04:08:00Z</cp:lastPrinted>
  <dcterms:modified xsi:type="dcterms:W3CDTF">2026-10-09T08:40:34Z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5CB63412B3EC4C5BB0245992B6A99505_13</vt:lpwstr>
  </property>
  <property fmtid="{D5CDD505-2E9C-101B-9397-08002B2CF9AE}" pid="4" name="KSOTemplateDocerSaveRecord">
    <vt:lpwstr>eyJoZGlkIjoiYWZkNjU5MzVmYjQ0YmE4MDUyZjJhM2NjZDYwNTZjMjEiLCJ1c2VySWQiOiIxNjgyMzIzMTY5In0=</vt:lpwstr>
  </property>
</Properties>
</file>