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9"/>
        <w:jc w:val="center"/>
      </w:pPr>
      <w:r>
        <w:rPr>
          <w:rFonts w:hint="eastAsia" w:ascii="宋体" w:hAnsi="宋体" w:cs="宋体"/>
          <w:b/>
          <w:bCs w:val="0"/>
          <w:sz w:val="36"/>
          <w:szCs w:val="36"/>
          <w:lang w:eastAsia="zh-CN"/>
        </w:rPr>
        <w:t>中山市古镇人民医院</w:t>
      </w:r>
      <w:r>
        <w:rPr>
          <w:rFonts w:hint="eastAsia" w:cs="宋体"/>
          <w:b/>
          <w:bCs w:val="0"/>
          <w:sz w:val="36"/>
          <w:szCs w:val="36"/>
          <w:lang w:val="en-US" w:eastAsia="zh-CN"/>
        </w:rPr>
        <w:t>2026年古镇镇65岁及以上老年人健康管理服务体检系统改造及其他服务项目</w:t>
      </w:r>
      <w:r>
        <w:rPr>
          <w:rFonts w:hint="eastAsia"/>
          <w:b/>
          <w:bCs w:val="0"/>
          <w:sz w:val="36"/>
          <w:szCs w:val="36"/>
        </w:rPr>
        <w:t>报价</w:t>
      </w:r>
      <w:r>
        <w:rPr>
          <w:b/>
          <w:bCs w:val="0"/>
          <w:sz w:val="36"/>
          <w:szCs w:val="36"/>
        </w:rPr>
        <w:t>邀请函</w:t>
      </w:r>
    </w:p>
    <w:p w14:paraId="3BE27157">
      <w:pPr>
        <w:pStyle w:val="9"/>
        <w:rPr>
          <w:rFonts w:ascii="微软雅黑" w:hAnsi="微软雅黑" w:eastAsia="微软雅黑"/>
        </w:rPr>
      </w:pPr>
      <w:r>
        <w:rPr>
          <w:rFonts w:hint="eastAsia"/>
        </w:rPr>
        <w:t>各潜在供应商：</w:t>
      </w:r>
    </w:p>
    <w:p w14:paraId="27C32B67">
      <w:pPr>
        <w:pStyle w:val="9"/>
        <w:ind w:firstLine="420" w:firstLineChars="200"/>
        <w:rPr>
          <w:rFonts w:ascii="微软雅黑" w:hAnsi="微软雅黑" w:eastAsia="微软雅黑"/>
        </w:rPr>
      </w:pPr>
      <w:r>
        <w:rPr>
          <w:rFonts w:hint="eastAsia"/>
        </w:rPr>
        <w:t>中山市古镇人民医院对</w:t>
      </w:r>
      <w:r>
        <w:rPr>
          <w:rFonts w:hint="eastAsia"/>
          <w:lang w:eastAsia="zh-CN"/>
        </w:rPr>
        <w:t>2026年古镇镇65岁及以上老年人健康管理服务体检系统改造及其他服务项目</w:t>
      </w:r>
      <w:r>
        <w:rPr>
          <w:rFonts w:hint="eastAsia"/>
        </w:rPr>
        <w:t>进行采购，欢迎符合资格条件的报价人报价。</w:t>
      </w:r>
    </w:p>
    <w:p w14:paraId="6AA884F6">
      <w:pPr>
        <w:pStyle w:val="9"/>
        <w:rPr>
          <w:rFonts w:ascii="微软雅黑" w:hAnsi="微软雅黑" w:eastAsia="微软雅黑"/>
        </w:rPr>
      </w:pPr>
      <w:r>
        <w:rPr>
          <w:rFonts w:hint="eastAsia"/>
        </w:rPr>
        <w:t>一、项目名称：中山市古镇人民医院</w:t>
      </w:r>
      <w:r>
        <w:rPr>
          <w:rFonts w:hint="eastAsia"/>
          <w:lang w:eastAsia="zh-CN"/>
        </w:rPr>
        <w:t>2026年古镇镇65岁及以上老年人健康管理服务体检系统改造及其他服务项目</w:t>
      </w:r>
    </w:p>
    <w:p w14:paraId="38E616DD">
      <w:pPr>
        <w:pStyle w:val="9"/>
        <w:rPr>
          <w:rFonts w:ascii="微软雅黑" w:hAnsi="微软雅黑" w:eastAsia="微软雅黑"/>
        </w:rPr>
      </w:pPr>
      <w:r>
        <w:rPr>
          <w:rFonts w:hint="eastAsia"/>
        </w:rPr>
        <w:t>二、采购上限价：该项目采购上限价为人民币</w:t>
      </w:r>
      <w:r>
        <w:rPr>
          <w:rFonts w:hint="eastAsia"/>
          <w:lang w:val="en-US" w:eastAsia="zh-CN"/>
        </w:rPr>
        <w:t>42000</w:t>
      </w:r>
      <w:r>
        <w:rPr>
          <w:rFonts w:hint="eastAsia"/>
        </w:rPr>
        <w:t>元（含税）。</w:t>
      </w:r>
    </w:p>
    <w:p w14:paraId="4A4BF595">
      <w:pPr>
        <w:pStyle w:val="9"/>
        <w:rPr>
          <w:rFonts w:ascii="微软雅黑" w:hAnsi="微软雅黑" w:eastAsia="微软雅黑"/>
        </w:rPr>
      </w:pPr>
      <w:r>
        <w:rPr>
          <w:rFonts w:hint="eastAsia"/>
        </w:rPr>
        <w:t>三、采购说明：</w:t>
      </w:r>
    </w:p>
    <w:p w14:paraId="65994F05">
      <w:pPr>
        <w:pStyle w:val="9"/>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9"/>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9"/>
        <w:rPr>
          <w:rFonts w:ascii="微软雅黑" w:hAnsi="微软雅黑" w:eastAsia="微软雅黑"/>
        </w:rPr>
      </w:pPr>
      <w:r>
        <w:rPr>
          <w:rFonts w:hint="eastAsia"/>
        </w:rPr>
        <w:t>（三）最终结算以按实结算为准，结算总价原则不得超出中选价，超出部分按照相关规定实施。</w:t>
      </w:r>
    </w:p>
    <w:p w14:paraId="30020355">
      <w:pPr>
        <w:pStyle w:val="9"/>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2026年古镇镇65岁及以上老年人健康管理服务体检系统改造及其他服务项目</w:t>
      </w:r>
      <w:r>
        <w:rPr>
          <w:rFonts w:hint="eastAsia"/>
        </w:rPr>
        <w:t>采购，详见需求部分。</w:t>
      </w:r>
    </w:p>
    <w:p w14:paraId="0F4AB084">
      <w:pPr>
        <w:pStyle w:val="9"/>
        <w:rPr>
          <w:rFonts w:ascii="微软雅黑" w:hAnsi="微软雅黑" w:eastAsia="微软雅黑"/>
        </w:rPr>
      </w:pPr>
      <w:r>
        <w:rPr>
          <w:rFonts w:hint="eastAsia"/>
        </w:rPr>
        <w:t>五、报价人资格要求：</w:t>
      </w:r>
    </w:p>
    <w:p w14:paraId="30AED84E">
      <w:pPr>
        <w:pStyle w:val="9"/>
        <w:rPr>
          <w:rFonts w:ascii="微软雅黑" w:hAnsi="微软雅黑" w:eastAsia="微软雅黑"/>
        </w:rPr>
      </w:pPr>
      <w:r>
        <w:rPr>
          <w:rFonts w:hint="eastAsia"/>
        </w:rPr>
        <w:t>1. 必须是具有独立承担民事责任能力的在中华人民共和国境内注册的法人或其他组织。</w:t>
      </w:r>
    </w:p>
    <w:p w14:paraId="4ED92D07">
      <w:pPr>
        <w:pStyle w:val="9"/>
        <w:rPr>
          <w:rFonts w:ascii="微软雅黑" w:hAnsi="微软雅黑" w:eastAsia="微软雅黑"/>
        </w:rPr>
      </w:pPr>
      <w:r>
        <w:rPr>
          <w:rFonts w:hint="eastAsia"/>
        </w:rPr>
        <w:t>2. 具备《中华人民共和国政府采购法》第二十二条资格条件。</w:t>
      </w:r>
    </w:p>
    <w:p w14:paraId="5F6E0AB5">
      <w:pPr>
        <w:pStyle w:val="9"/>
        <w:rPr>
          <w:rFonts w:ascii="微软雅黑" w:hAnsi="微软雅黑" w:eastAsia="微软雅黑"/>
        </w:rPr>
      </w:pPr>
      <w:r>
        <w:rPr>
          <w:rFonts w:hint="eastAsia"/>
        </w:rPr>
        <w:t>3. 不同的供应商之间有下列情形之一的，不接受作为参与同一采购项目竞争的供应商。</w:t>
      </w:r>
    </w:p>
    <w:p w14:paraId="48438BC5">
      <w:pPr>
        <w:pStyle w:val="9"/>
        <w:rPr>
          <w:rFonts w:ascii="微软雅黑" w:hAnsi="微软雅黑" w:eastAsia="微软雅黑"/>
        </w:rPr>
      </w:pPr>
      <w:r>
        <w:rPr>
          <w:rFonts w:hint="eastAsia"/>
        </w:rPr>
        <w:t>3.1 法定代表人或供应商负责人为同一人或者存在直接控股、管理关系的供应商。</w:t>
      </w:r>
    </w:p>
    <w:p w14:paraId="6C9DD809">
      <w:pPr>
        <w:pStyle w:val="9"/>
        <w:rPr>
          <w:rFonts w:ascii="微软雅黑" w:hAnsi="微软雅黑" w:eastAsia="微软雅黑"/>
        </w:rPr>
      </w:pPr>
      <w:r>
        <w:rPr>
          <w:rFonts w:hint="eastAsia"/>
        </w:rPr>
        <w:t>3.2 为采购项目提供整体设计、规范编制或者项目管理、监理、检测等服务的供应商。</w:t>
      </w:r>
    </w:p>
    <w:p w14:paraId="433DBE10">
      <w:pPr>
        <w:pStyle w:val="9"/>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9"/>
        <w:rPr>
          <w:rFonts w:ascii="微软雅黑" w:hAnsi="微软雅黑" w:eastAsia="微软雅黑"/>
        </w:rPr>
      </w:pPr>
      <w:r>
        <w:rPr>
          <w:rFonts w:hint="eastAsia"/>
        </w:rPr>
        <w:t>4.供应商须无围标、串标行为，</w:t>
      </w:r>
      <w:r>
        <w:rPr>
          <w:rStyle w:val="13"/>
          <w:rFonts w:hint="eastAsia"/>
          <w:color w:val="000000"/>
        </w:rPr>
        <w:t>投标文件提供《无围标串通等违法违规行为承诺书》（承诺书格式自行编制）和提供《廉洁承诺书》(承诺书格式自行编制)。</w:t>
      </w:r>
    </w:p>
    <w:p w14:paraId="6C416BF1">
      <w:pPr>
        <w:pStyle w:val="9"/>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9"/>
        <w:rPr>
          <w:rFonts w:ascii="微软雅黑" w:hAnsi="微软雅黑" w:eastAsia="微软雅黑"/>
        </w:rPr>
      </w:pPr>
      <w:r>
        <w:rPr>
          <w:rStyle w:val="13"/>
          <w:rFonts w:hint="eastAsia"/>
        </w:rPr>
        <w:t>六、报名时间和方式。</w:t>
      </w:r>
      <w:r>
        <w:rPr>
          <w:rFonts w:hint="eastAsia"/>
        </w:rPr>
        <w:t>（本次询价均使用北京时间，24小时制）</w:t>
      </w:r>
    </w:p>
    <w:p w14:paraId="35C6A393">
      <w:pPr>
        <w:pStyle w:val="9"/>
        <w:rPr>
          <w:rFonts w:hint="eastAsia"/>
        </w:rPr>
      </w:pPr>
      <w:r>
        <w:rPr>
          <w:rStyle w:val="13"/>
          <w:rFonts w:hint="eastAsia"/>
        </w:rPr>
        <w:t>报名时间</w:t>
      </w:r>
      <w:r>
        <w:rPr>
          <w:rFonts w:hint="eastAsia"/>
        </w:rPr>
        <w:t>：</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9</w:t>
      </w:r>
      <w:r>
        <w:rPr>
          <w:rFonts w:hint="eastAsia"/>
          <w:color w:val="auto"/>
        </w:rPr>
        <w:t>日至202</w:t>
      </w:r>
      <w:r>
        <w:rPr>
          <w:rFonts w:hint="eastAsia"/>
          <w:color w:val="auto"/>
          <w:lang w:val="en-US" w:eastAsia="zh-CN"/>
        </w:rPr>
        <w:t>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13</w:t>
      </w:r>
      <w:r>
        <w:rPr>
          <w:rFonts w:hint="eastAsia"/>
        </w:rPr>
        <w:t>日(上午8:30-12:00，下午14:</w:t>
      </w:r>
      <w:r>
        <w:rPr>
          <w:rFonts w:hint="eastAsia"/>
          <w:lang w:val="en-US" w:eastAsia="zh-CN"/>
        </w:rPr>
        <w:t>0</w:t>
      </w:r>
      <w:r>
        <w:rPr>
          <w:rFonts w:hint="eastAsia"/>
        </w:rPr>
        <w:t>0-17:</w:t>
      </w:r>
      <w:r>
        <w:rPr>
          <w:rFonts w:hint="eastAsia"/>
          <w:lang w:val="en-US" w:eastAsia="zh-CN"/>
        </w:rPr>
        <w:t>0</w:t>
      </w:r>
      <w:r>
        <w:rPr>
          <w:rFonts w:hint="eastAsia"/>
        </w:rPr>
        <w:t>0分，节假日除外）</w:t>
      </w:r>
    </w:p>
    <w:p w14:paraId="5F6EECE4">
      <w:pPr>
        <w:pStyle w:val="9"/>
        <w:rPr>
          <w:rFonts w:hint="default" w:ascii="微软雅黑" w:hAnsi="微软雅黑" w:eastAsia="宋体"/>
          <w:lang w:val="en-US" w:eastAsia="zh-CN"/>
        </w:rPr>
      </w:pPr>
      <w:r>
        <w:rPr>
          <w:rStyle w:val="13"/>
          <w:rFonts w:hint="eastAsia"/>
        </w:rPr>
        <w:t>报名地点：</w:t>
      </w:r>
      <w:r>
        <w:rPr>
          <w:rFonts w:hint="eastAsia"/>
        </w:rPr>
        <w:t>中山市古镇人民医院</w:t>
      </w:r>
      <w:r>
        <w:rPr>
          <w:rFonts w:hint="eastAsia"/>
          <w:lang w:val="en-US" w:eastAsia="zh-CN"/>
        </w:rPr>
        <w:t>医技楼二楼信息科</w:t>
      </w:r>
    </w:p>
    <w:p w14:paraId="1F4AF3DD">
      <w:pPr>
        <w:pStyle w:val="9"/>
        <w:rPr>
          <w:rFonts w:ascii="微软雅黑" w:hAnsi="微软雅黑" w:eastAsia="微软雅黑"/>
        </w:rPr>
      </w:pPr>
      <w:r>
        <w:rPr>
          <w:rStyle w:val="13"/>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w:t>
      </w:r>
      <w:r>
        <w:rPr>
          <w:b/>
        </w:rPr>
        <w:t>，</w:t>
      </w:r>
      <w:r>
        <w:rPr>
          <w:rFonts w:hint="eastAsia"/>
          <w:b/>
          <w:lang w:val="en-US" w:eastAsia="zh-CN"/>
        </w:rPr>
        <w:t>信息科</w:t>
      </w:r>
      <w:r>
        <w:rPr>
          <w:rStyle w:val="13"/>
          <w:rFonts w:hint="eastAsia"/>
        </w:rPr>
        <w:t>，以签收时间为准。），不接受电话报名及提交资料。</w:t>
      </w:r>
    </w:p>
    <w:p w14:paraId="0048A7C3">
      <w:pPr>
        <w:pStyle w:val="9"/>
        <w:rPr>
          <w:rFonts w:ascii="微软雅黑" w:hAnsi="微软雅黑" w:eastAsia="微软雅黑"/>
        </w:rPr>
      </w:pPr>
      <w:r>
        <w:rPr>
          <w:rStyle w:val="13"/>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9"/>
        <w:rPr>
          <w:rFonts w:ascii="微软雅黑" w:hAnsi="微软雅黑" w:eastAsia="微软雅黑"/>
        </w:rPr>
      </w:pPr>
      <w:r>
        <w:rPr>
          <w:rFonts w:hint="eastAsia"/>
        </w:rPr>
        <w:t>七、本询价文件规定的时间（本次询价均使用北京时间，24小时制）。</w:t>
      </w:r>
    </w:p>
    <w:p w14:paraId="32A5DC97">
      <w:pPr>
        <w:pStyle w:val="9"/>
        <w:rPr>
          <w:rFonts w:ascii="微软雅黑" w:hAnsi="微软雅黑" w:eastAsia="微软雅黑"/>
        </w:rPr>
      </w:pPr>
      <w:r>
        <w:rPr>
          <w:rFonts w:hint="eastAsia"/>
        </w:rPr>
        <w:t>八、</w:t>
      </w:r>
      <w:r>
        <w:rPr>
          <w:rStyle w:val="13"/>
          <w:rFonts w:hint="eastAsia"/>
        </w:rPr>
        <w:t>递交报价文件截止时间</w:t>
      </w:r>
      <w:r>
        <w:rPr>
          <w:rFonts w:hint="eastAsia"/>
        </w:rPr>
        <w:t>：</w:t>
      </w:r>
      <w:r>
        <w:rPr>
          <w:rStyle w:val="13"/>
          <w:rFonts w:hint="eastAsia"/>
          <w:color w:val="auto"/>
        </w:rPr>
        <w:t>202</w:t>
      </w:r>
      <w:r>
        <w:rPr>
          <w:rStyle w:val="13"/>
          <w:rFonts w:hint="eastAsia"/>
          <w:color w:val="auto"/>
          <w:lang w:val="en-US" w:eastAsia="zh-CN"/>
        </w:rPr>
        <w:t>6</w:t>
      </w:r>
      <w:r>
        <w:rPr>
          <w:rStyle w:val="13"/>
          <w:rFonts w:hint="eastAsia"/>
          <w:color w:val="auto"/>
        </w:rPr>
        <w:t>年</w:t>
      </w:r>
      <w:r>
        <w:rPr>
          <w:rStyle w:val="13"/>
          <w:rFonts w:hint="eastAsia"/>
          <w:color w:val="auto"/>
          <w:lang w:val="en-US" w:eastAsia="zh-CN"/>
        </w:rPr>
        <w:t>5</w:t>
      </w:r>
      <w:r>
        <w:rPr>
          <w:rStyle w:val="13"/>
          <w:rFonts w:hint="eastAsia"/>
          <w:color w:val="auto"/>
        </w:rPr>
        <w:t>月</w:t>
      </w:r>
      <w:r>
        <w:rPr>
          <w:rStyle w:val="13"/>
          <w:rFonts w:hint="eastAsia"/>
          <w:color w:val="auto"/>
          <w:lang w:val="en-US" w:eastAsia="zh-CN"/>
        </w:rPr>
        <w:t>13</w:t>
      </w:r>
      <w:r>
        <w:rPr>
          <w:rStyle w:val="13"/>
          <w:rFonts w:hint="eastAsia"/>
          <w:color w:val="auto"/>
        </w:rPr>
        <w:t>日上午12:00时（北京时间）</w:t>
      </w:r>
      <w:r>
        <w:rPr>
          <w:rStyle w:val="13"/>
          <w:rFonts w:hint="eastAsia"/>
        </w:rPr>
        <w:t>。</w:t>
      </w:r>
    </w:p>
    <w:p w14:paraId="7F2FBC4B">
      <w:pPr>
        <w:pStyle w:val="9"/>
        <w:rPr>
          <w:rFonts w:ascii="微软雅黑" w:hAnsi="微软雅黑" w:eastAsia="微软雅黑"/>
        </w:rPr>
      </w:pPr>
      <w:r>
        <w:rPr>
          <w:rFonts w:hint="eastAsia"/>
        </w:rPr>
        <w:t>九、询价评选时间：202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13</w:t>
      </w:r>
      <w:r>
        <w:rPr>
          <w:rFonts w:hint="eastAsia"/>
        </w:rPr>
        <w:t>日下午15:00（北京时间）。</w:t>
      </w:r>
    </w:p>
    <w:p w14:paraId="06EDE9CD">
      <w:pPr>
        <w:pStyle w:val="9"/>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古镇镇华博路199号</w:t>
      </w:r>
      <w:r>
        <w:t>，</w:t>
      </w:r>
      <w:r>
        <w:rPr>
          <w:rFonts w:hint="eastAsia"/>
          <w:lang w:val="en-US" w:eastAsia="zh-CN"/>
        </w:rPr>
        <w:t>信息科</w:t>
      </w:r>
    </w:p>
    <w:p w14:paraId="5AA5808E">
      <w:pPr>
        <w:pStyle w:val="9"/>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9"/>
        <w:rPr>
          <w:rFonts w:ascii="微软雅黑" w:hAnsi="微软雅黑" w:eastAsia="微软雅黑"/>
        </w:rPr>
      </w:pPr>
      <w:r>
        <w:rPr>
          <w:rFonts w:hint="eastAsia"/>
        </w:rPr>
        <w:t>十二、采购人联系方式</w:t>
      </w:r>
    </w:p>
    <w:p w14:paraId="0E72699A">
      <w:pPr>
        <w:pStyle w:val="9"/>
        <w:rPr>
          <w:rFonts w:ascii="微软雅黑" w:hAnsi="微软雅黑" w:eastAsia="微软雅黑"/>
        </w:rPr>
      </w:pPr>
      <w:r>
        <w:rPr>
          <w:rFonts w:hint="eastAsia"/>
        </w:rPr>
        <w:t>地址:中山市</w:t>
      </w:r>
      <w:r>
        <w:rPr>
          <w:rFonts w:hint="eastAsia"/>
          <w:lang w:val="en-US" w:eastAsia="zh-CN"/>
        </w:rPr>
        <w:t>古镇镇华博路199号</w:t>
      </w:r>
      <w:r>
        <w:rPr>
          <w:rFonts w:hint="eastAsia"/>
        </w:rPr>
        <w:t>中山市古镇人民医院</w:t>
      </w:r>
      <w:r>
        <w:rPr>
          <w:rFonts w:hint="eastAsia"/>
          <w:lang w:val="en-US" w:eastAsia="zh-CN"/>
        </w:rPr>
        <w:t>医技楼二楼信息科</w:t>
      </w:r>
    </w:p>
    <w:p w14:paraId="6FAEF14F">
      <w:pPr>
        <w:pStyle w:val="9"/>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9"/>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9"/>
        <w:rPr>
          <w:rFonts w:ascii="微软雅黑" w:hAnsi="微软雅黑" w:eastAsia="微软雅黑"/>
        </w:rPr>
      </w:pPr>
      <w:r>
        <w:rPr>
          <w:rFonts w:hint="eastAsia"/>
        </w:rPr>
        <w:t>十三、监督部门：古镇人民医院监察室</w:t>
      </w:r>
    </w:p>
    <w:p w14:paraId="6179EE53">
      <w:pPr>
        <w:pStyle w:val="9"/>
        <w:rPr>
          <w:rFonts w:hint="eastAsia"/>
        </w:rPr>
      </w:pPr>
      <w:r>
        <w:rPr>
          <w:rFonts w:hint="eastAsia"/>
        </w:rPr>
        <w:t>联系电话：0760-22329962</w:t>
      </w:r>
    </w:p>
    <w:p w14:paraId="17CF7480">
      <w:pPr>
        <w:pStyle w:val="9"/>
        <w:rPr>
          <w:rFonts w:hint="eastAsia"/>
        </w:rPr>
      </w:pPr>
    </w:p>
    <w:p w14:paraId="2D2C33B9">
      <w:pPr>
        <w:pStyle w:val="9"/>
        <w:rPr>
          <w:rFonts w:ascii="黑体" w:hAnsi="黑体" w:eastAsia="黑体" w:cs="黑体"/>
          <w:sz w:val="44"/>
          <w:szCs w:val="44"/>
        </w:rPr>
      </w:pPr>
      <w:r>
        <w:rPr>
          <w:rStyle w:val="13"/>
          <w:rFonts w:hint="eastAsia"/>
          <w:sz w:val="28"/>
          <w:szCs w:val="28"/>
        </w:rPr>
        <w:t>用户需求</w:t>
      </w:r>
    </w:p>
    <w:tbl>
      <w:tblPr>
        <w:tblStyle w:val="10"/>
        <w:tblW w:w="9592" w:type="dxa"/>
        <w:tblInd w:w="-714" w:type="dxa"/>
        <w:tblLayout w:type="fixed"/>
        <w:tblCellMar>
          <w:top w:w="0" w:type="dxa"/>
          <w:left w:w="108" w:type="dxa"/>
          <w:bottom w:w="0" w:type="dxa"/>
          <w:right w:w="108" w:type="dxa"/>
        </w:tblCellMar>
      </w:tblPr>
      <w:tblGrid>
        <w:gridCol w:w="567"/>
        <w:gridCol w:w="1276"/>
        <w:gridCol w:w="5596"/>
        <w:gridCol w:w="814"/>
        <w:gridCol w:w="600"/>
        <w:gridCol w:w="739"/>
      </w:tblGrid>
      <w:tr w14:paraId="7E49475A">
        <w:tblPrEx>
          <w:tblCellMar>
            <w:top w:w="0" w:type="dxa"/>
            <w:left w:w="108" w:type="dxa"/>
            <w:bottom w:w="0" w:type="dxa"/>
            <w:right w:w="108" w:type="dxa"/>
          </w:tblCellMar>
        </w:tblPrEx>
        <w:trPr>
          <w:trHeight w:val="555"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14:paraId="7D625688">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409E9E7C">
            <w:pPr>
              <w:widowControl/>
              <w:jc w:val="center"/>
              <w:rPr>
                <w:rFonts w:hint="eastAsia" w:ascii="宋体" w:hAnsi="宋体" w:cs="宋体"/>
                <w:b/>
                <w:bCs/>
                <w:kern w:val="0"/>
                <w:sz w:val="20"/>
                <w:szCs w:val="20"/>
              </w:rPr>
            </w:pPr>
            <w:r>
              <w:rPr>
                <w:rFonts w:hint="eastAsia" w:ascii="宋体" w:hAnsi="宋体" w:cs="宋体"/>
                <w:b/>
                <w:bCs/>
                <w:kern w:val="0"/>
                <w:sz w:val="20"/>
                <w:szCs w:val="20"/>
              </w:rPr>
              <w:t>项目名称</w:t>
            </w:r>
          </w:p>
        </w:tc>
        <w:tc>
          <w:tcPr>
            <w:tcW w:w="5596" w:type="dxa"/>
            <w:vMerge w:val="restart"/>
            <w:tcBorders>
              <w:top w:val="single" w:color="auto" w:sz="4" w:space="0"/>
              <w:left w:val="single" w:color="auto" w:sz="4" w:space="0"/>
              <w:bottom w:val="single" w:color="auto" w:sz="4" w:space="0"/>
              <w:right w:val="single" w:color="auto" w:sz="4" w:space="0"/>
            </w:tcBorders>
            <w:vAlign w:val="center"/>
          </w:tcPr>
          <w:p w14:paraId="2032D749">
            <w:pPr>
              <w:widowControl/>
              <w:jc w:val="center"/>
              <w:rPr>
                <w:rFonts w:hint="eastAsia" w:ascii="宋体" w:hAnsi="宋体" w:cs="宋体"/>
                <w:b/>
                <w:bCs/>
                <w:kern w:val="0"/>
                <w:sz w:val="20"/>
                <w:szCs w:val="20"/>
              </w:rPr>
            </w:pPr>
            <w:r>
              <w:rPr>
                <w:rFonts w:hint="eastAsia" w:ascii="宋体" w:hAnsi="宋体" w:cs="宋体"/>
                <w:b/>
                <w:bCs/>
                <w:kern w:val="0"/>
                <w:sz w:val="20"/>
                <w:szCs w:val="20"/>
                <w:lang w:val="en-US" w:eastAsia="zh-CN"/>
              </w:rPr>
              <w:t>需求</w:t>
            </w:r>
            <w:r>
              <w:rPr>
                <w:rFonts w:hint="eastAsia" w:ascii="宋体" w:hAnsi="宋体" w:cs="宋体"/>
                <w:b/>
                <w:bCs/>
                <w:kern w:val="0"/>
                <w:sz w:val="20"/>
                <w:szCs w:val="20"/>
              </w:rPr>
              <w:t>描述</w:t>
            </w:r>
          </w:p>
        </w:tc>
        <w:tc>
          <w:tcPr>
            <w:tcW w:w="814" w:type="dxa"/>
            <w:vMerge w:val="restart"/>
            <w:tcBorders>
              <w:top w:val="single" w:color="auto" w:sz="4" w:space="0"/>
              <w:left w:val="single" w:color="auto" w:sz="4" w:space="0"/>
              <w:bottom w:val="single" w:color="auto" w:sz="4" w:space="0"/>
              <w:right w:val="single" w:color="auto" w:sz="4" w:space="0"/>
            </w:tcBorders>
            <w:vAlign w:val="center"/>
          </w:tcPr>
          <w:p w14:paraId="5979D5FF">
            <w:pPr>
              <w:widowControl/>
              <w:jc w:val="center"/>
              <w:rPr>
                <w:rFonts w:hint="eastAsia" w:ascii="宋体" w:hAnsi="宋体" w:cs="宋体"/>
                <w:b/>
                <w:bCs/>
                <w:kern w:val="0"/>
                <w:sz w:val="20"/>
                <w:szCs w:val="20"/>
              </w:rPr>
            </w:pPr>
            <w:r>
              <w:rPr>
                <w:rFonts w:hint="eastAsia" w:ascii="宋体" w:hAnsi="宋体" w:cs="宋体"/>
                <w:b/>
                <w:bCs/>
                <w:kern w:val="0"/>
                <w:sz w:val="20"/>
                <w:szCs w:val="20"/>
              </w:rPr>
              <w:t>品牌型号</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14:paraId="3213869B">
            <w:pPr>
              <w:widowControl/>
              <w:jc w:val="center"/>
              <w:rPr>
                <w:rFonts w:hint="eastAsia" w:ascii="宋体" w:hAnsi="宋体" w:cs="宋体"/>
                <w:b/>
                <w:bCs/>
                <w:kern w:val="0"/>
                <w:sz w:val="20"/>
                <w:szCs w:val="20"/>
              </w:rPr>
            </w:pPr>
            <w:r>
              <w:rPr>
                <w:rFonts w:hint="eastAsia" w:ascii="宋体" w:hAnsi="宋体" w:cs="宋体"/>
                <w:b/>
                <w:bCs/>
                <w:kern w:val="0"/>
                <w:sz w:val="20"/>
                <w:szCs w:val="20"/>
              </w:rPr>
              <w:t>单位</w:t>
            </w:r>
          </w:p>
        </w:tc>
        <w:tc>
          <w:tcPr>
            <w:tcW w:w="739" w:type="dxa"/>
            <w:vMerge w:val="restart"/>
            <w:tcBorders>
              <w:top w:val="single" w:color="auto" w:sz="4" w:space="0"/>
              <w:left w:val="single" w:color="auto" w:sz="4" w:space="0"/>
              <w:bottom w:val="single" w:color="auto" w:sz="4" w:space="0"/>
              <w:right w:val="single" w:color="auto" w:sz="4" w:space="0"/>
            </w:tcBorders>
            <w:vAlign w:val="center"/>
          </w:tcPr>
          <w:p w14:paraId="321FC286">
            <w:pPr>
              <w:widowControl/>
              <w:jc w:val="center"/>
              <w:rPr>
                <w:rFonts w:hint="eastAsia" w:ascii="宋体" w:hAnsi="宋体" w:cs="宋体"/>
                <w:b/>
                <w:bCs/>
                <w:kern w:val="0"/>
                <w:sz w:val="20"/>
                <w:szCs w:val="20"/>
              </w:rPr>
            </w:pPr>
            <w:r>
              <w:rPr>
                <w:rFonts w:hint="eastAsia" w:ascii="宋体" w:hAnsi="宋体" w:cs="宋体"/>
                <w:b/>
                <w:bCs/>
                <w:kern w:val="0"/>
                <w:sz w:val="20"/>
                <w:szCs w:val="20"/>
              </w:rPr>
              <w:t>数量</w:t>
            </w:r>
          </w:p>
        </w:tc>
      </w:tr>
      <w:tr w14:paraId="26DB5933">
        <w:tblPrEx>
          <w:tblCellMar>
            <w:top w:w="0" w:type="dxa"/>
            <w:left w:w="108" w:type="dxa"/>
            <w:bottom w:w="0" w:type="dxa"/>
            <w:right w:w="108" w:type="dxa"/>
          </w:tblCellMar>
        </w:tblPrEx>
        <w:trPr>
          <w:trHeight w:val="255"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14:paraId="5C434E91">
            <w:pPr>
              <w:widowControl/>
              <w:jc w:val="left"/>
              <w:rPr>
                <w:rFonts w:hint="eastAsia" w:ascii="宋体" w:hAnsi="宋体" w:cs="宋体"/>
                <w:b/>
                <w:bCs/>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D29E8B8">
            <w:pPr>
              <w:widowControl/>
              <w:jc w:val="left"/>
              <w:rPr>
                <w:rFonts w:hint="eastAsia" w:ascii="宋体" w:hAnsi="宋体" w:cs="宋体"/>
                <w:b/>
                <w:bCs/>
                <w:kern w:val="0"/>
                <w:sz w:val="20"/>
                <w:szCs w:val="20"/>
              </w:rPr>
            </w:pPr>
          </w:p>
        </w:tc>
        <w:tc>
          <w:tcPr>
            <w:tcW w:w="5596" w:type="dxa"/>
            <w:vMerge w:val="continue"/>
            <w:tcBorders>
              <w:top w:val="single" w:color="auto" w:sz="4" w:space="0"/>
              <w:left w:val="single" w:color="auto" w:sz="4" w:space="0"/>
              <w:bottom w:val="single" w:color="auto" w:sz="4" w:space="0"/>
              <w:right w:val="single" w:color="auto" w:sz="4" w:space="0"/>
            </w:tcBorders>
            <w:vAlign w:val="center"/>
          </w:tcPr>
          <w:p w14:paraId="6BD19EBA">
            <w:pPr>
              <w:widowControl/>
              <w:jc w:val="left"/>
              <w:rPr>
                <w:rFonts w:hint="eastAsia" w:ascii="宋体" w:hAnsi="宋体" w:cs="宋体"/>
                <w:b/>
                <w:bCs/>
                <w:kern w:val="0"/>
                <w:sz w:val="20"/>
                <w:szCs w:val="20"/>
              </w:rPr>
            </w:pPr>
          </w:p>
        </w:tc>
        <w:tc>
          <w:tcPr>
            <w:tcW w:w="814" w:type="dxa"/>
            <w:vMerge w:val="continue"/>
            <w:tcBorders>
              <w:top w:val="single" w:color="auto" w:sz="4" w:space="0"/>
              <w:left w:val="single" w:color="auto" w:sz="4" w:space="0"/>
              <w:bottom w:val="single" w:color="auto" w:sz="4" w:space="0"/>
              <w:right w:val="single" w:color="auto" w:sz="4" w:space="0"/>
            </w:tcBorders>
            <w:vAlign w:val="center"/>
          </w:tcPr>
          <w:p w14:paraId="63C33523">
            <w:pPr>
              <w:widowControl/>
              <w:jc w:val="left"/>
              <w:rPr>
                <w:rFonts w:hint="eastAsia" w:ascii="宋体" w:hAnsi="宋体" w:cs="宋体"/>
                <w:b/>
                <w:bCs/>
                <w:kern w:val="0"/>
                <w:sz w:val="20"/>
                <w:szCs w:val="20"/>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14:paraId="52DA6B63">
            <w:pPr>
              <w:widowControl/>
              <w:jc w:val="left"/>
              <w:rPr>
                <w:rFonts w:hint="eastAsia" w:ascii="宋体" w:hAnsi="宋体" w:cs="宋体"/>
                <w:b/>
                <w:bCs/>
                <w:kern w:val="0"/>
                <w:sz w:val="20"/>
                <w:szCs w:val="20"/>
              </w:rPr>
            </w:pPr>
          </w:p>
        </w:tc>
        <w:tc>
          <w:tcPr>
            <w:tcW w:w="739" w:type="dxa"/>
            <w:vMerge w:val="continue"/>
            <w:tcBorders>
              <w:top w:val="single" w:color="auto" w:sz="4" w:space="0"/>
              <w:left w:val="single" w:color="auto" w:sz="4" w:space="0"/>
              <w:bottom w:val="single" w:color="auto" w:sz="4" w:space="0"/>
              <w:right w:val="single" w:color="auto" w:sz="4" w:space="0"/>
            </w:tcBorders>
            <w:vAlign w:val="center"/>
          </w:tcPr>
          <w:p w14:paraId="20568F7B">
            <w:pPr>
              <w:widowControl/>
              <w:jc w:val="left"/>
              <w:rPr>
                <w:rFonts w:hint="eastAsia" w:ascii="宋体" w:hAnsi="宋体" w:cs="宋体"/>
                <w:b/>
                <w:bCs/>
                <w:kern w:val="0"/>
                <w:sz w:val="20"/>
                <w:szCs w:val="20"/>
              </w:rPr>
            </w:pPr>
          </w:p>
        </w:tc>
      </w:tr>
      <w:tr w14:paraId="30487A09">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shd w:val="clear" w:color="000000" w:fill="FFFFFF"/>
            <w:noWrap/>
            <w:vAlign w:val="center"/>
          </w:tcPr>
          <w:p w14:paraId="47F9CBE0">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276" w:type="dxa"/>
            <w:tcBorders>
              <w:top w:val="nil"/>
              <w:left w:val="nil"/>
              <w:bottom w:val="single" w:color="auto" w:sz="4" w:space="0"/>
              <w:right w:val="single" w:color="auto" w:sz="4" w:space="0"/>
            </w:tcBorders>
            <w:shd w:val="clear" w:color="000000" w:fill="FFFFFF"/>
            <w:vAlign w:val="center"/>
          </w:tcPr>
          <w:p w14:paraId="550F1BC0">
            <w:pPr>
              <w:widowControl/>
              <w:jc w:val="center"/>
              <w:rPr>
                <w:rFonts w:hint="eastAsia" w:ascii="宋体" w:hAnsi="宋体" w:cs="宋体"/>
                <w:kern w:val="0"/>
                <w:sz w:val="20"/>
                <w:szCs w:val="20"/>
              </w:rPr>
            </w:pPr>
            <w:r>
              <w:rPr>
                <w:rFonts w:hint="eastAsia" w:ascii="宋体" w:hAnsi="宋体" w:cs="宋体"/>
                <w:kern w:val="0"/>
                <w:sz w:val="20"/>
                <w:szCs w:val="20"/>
              </w:rPr>
              <w:t>老年人体检系统改造费用</w:t>
            </w:r>
          </w:p>
        </w:tc>
        <w:tc>
          <w:tcPr>
            <w:tcW w:w="5596" w:type="dxa"/>
            <w:tcBorders>
              <w:top w:val="nil"/>
              <w:left w:val="nil"/>
              <w:bottom w:val="single" w:color="auto" w:sz="4" w:space="0"/>
              <w:right w:val="single" w:color="auto" w:sz="4" w:space="0"/>
            </w:tcBorders>
            <w:shd w:val="clear" w:color="000000" w:fill="FFFFFF"/>
            <w:vAlign w:val="center"/>
          </w:tcPr>
          <w:p w14:paraId="3FA88A9D">
            <w:pPr>
              <w:widowControl/>
              <w:jc w:val="left"/>
              <w:rPr>
                <w:rFonts w:hint="eastAsia" w:ascii="宋体" w:hAnsi="宋体" w:cs="宋体"/>
                <w:kern w:val="0"/>
                <w:sz w:val="20"/>
                <w:szCs w:val="20"/>
              </w:rPr>
            </w:pPr>
            <w:r>
              <w:rPr>
                <w:rFonts w:hint="eastAsia" w:ascii="宋体" w:hAnsi="宋体" w:cs="宋体"/>
                <w:kern w:val="0"/>
                <w:sz w:val="20"/>
                <w:szCs w:val="20"/>
              </w:rPr>
              <w:t>系统适配新增糖化血糖蛋白检验和胸部正片检查项目，支持相关结果及字段录入；</w:t>
            </w:r>
          </w:p>
        </w:tc>
        <w:tc>
          <w:tcPr>
            <w:tcW w:w="814" w:type="dxa"/>
            <w:tcBorders>
              <w:top w:val="nil"/>
              <w:left w:val="nil"/>
              <w:bottom w:val="single" w:color="auto" w:sz="4" w:space="0"/>
              <w:right w:val="single" w:color="auto" w:sz="4" w:space="0"/>
            </w:tcBorders>
            <w:shd w:val="clear" w:color="000000" w:fill="FFFFFF"/>
            <w:vAlign w:val="center"/>
          </w:tcPr>
          <w:p w14:paraId="3FDA7829">
            <w:pPr>
              <w:widowControl/>
              <w:jc w:val="center"/>
              <w:rPr>
                <w:rFonts w:hint="eastAsia" w:ascii="宋体" w:hAnsi="宋体" w:cs="宋体"/>
                <w:kern w:val="0"/>
                <w:sz w:val="20"/>
                <w:szCs w:val="20"/>
              </w:rPr>
            </w:pPr>
            <w:r>
              <w:rPr>
                <w:rFonts w:hint="eastAsia" w:ascii="宋体" w:hAnsi="宋体" w:cs="宋体"/>
                <w:kern w:val="0"/>
                <w:sz w:val="20"/>
                <w:szCs w:val="20"/>
              </w:rPr>
              <w:t>定制</w:t>
            </w:r>
          </w:p>
        </w:tc>
        <w:tc>
          <w:tcPr>
            <w:tcW w:w="600" w:type="dxa"/>
            <w:tcBorders>
              <w:top w:val="nil"/>
              <w:left w:val="nil"/>
              <w:bottom w:val="single" w:color="auto" w:sz="4" w:space="0"/>
              <w:right w:val="single" w:color="auto" w:sz="4" w:space="0"/>
            </w:tcBorders>
            <w:shd w:val="clear" w:color="000000" w:fill="FFFFFF"/>
            <w:noWrap/>
            <w:vAlign w:val="center"/>
          </w:tcPr>
          <w:p w14:paraId="3B408F8B">
            <w:pPr>
              <w:widowControl/>
              <w:jc w:val="center"/>
              <w:rPr>
                <w:rFonts w:hint="eastAsia" w:ascii="宋体" w:hAnsi="宋体" w:cs="宋体"/>
                <w:kern w:val="0"/>
                <w:sz w:val="20"/>
                <w:szCs w:val="20"/>
              </w:rPr>
            </w:pPr>
            <w:r>
              <w:rPr>
                <w:rFonts w:hint="eastAsia" w:ascii="宋体" w:hAnsi="宋体" w:cs="宋体"/>
                <w:kern w:val="0"/>
                <w:sz w:val="20"/>
                <w:szCs w:val="20"/>
              </w:rPr>
              <w:t>项</w:t>
            </w:r>
          </w:p>
        </w:tc>
        <w:tc>
          <w:tcPr>
            <w:tcW w:w="739" w:type="dxa"/>
            <w:tcBorders>
              <w:top w:val="nil"/>
              <w:left w:val="nil"/>
              <w:bottom w:val="single" w:color="auto" w:sz="4" w:space="0"/>
              <w:right w:val="single" w:color="auto" w:sz="4" w:space="0"/>
            </w:tcBorders>
            <w:shd w:val="clear" w:color="000000" w:fill="FFFFFF"/>
            <w:vAlign w:val="center"/>
          </w:tcPr>
          <w:p w14:paraId="36CF8863">
            <w:pPr>
              <w:widowControl/>
              <w:jc w:val="center"/>
              <w:rPr>
                <w:rFonts w:hint="eastAsia" w:ascii="宋体" w:hAnsi="宋体" w:cs="宋体"/>
                <w:kern w:val="0"/>
                <w:sz w:val="20"/>
                <w:szCs w:val="20"/>
              </w:rPr>
            </w:pPr>
            <w:r>
              <w:rPr>
                <w:rFonts w:hint="eastAsia" w:ascii="宋体" w:hAnsi="宋体" w:cs="宋体"/>
                <w:kern w:val="0"/>
                <w:sz w:val="20"/>
                <w:szCs w:val="20"/>
              </w:rPr>
              <w:t>1</w:t>
            </w:r>
          </w:p>
        </w:tc>
      </w:tr>
      <w:tr w14:paraId="654CD2D9">
        <w:tblPrEx>
          <w:tblCellMar>
            <w:top w:w="0" w:type="dxa"/>
            <w:left w:w="108" w:type="dxa"/>
            <w:bottom w:w="0" w:type="dxa"/>
            <w:right w:w="108" w:type="dxa"/>
          </w:tblCellMar>
        </w:tblPrEx>
        <w:trPr>
          <w:trHeight w:val="765" w:hRule="atLeast"/>
        </w:trPr>
        <w:tc>
          <w:tcPr>
            <w:tcW w:w="567" w:type="dxa"/>
            <w:tcBorders>
              <w:top w:val="nil"/>
              <w:left w:val="single" w:color="auto" w:sz="4" w:space="0"/>
              <w:bottom w:val="single" w:color="auto" w:sz="4" w:space="0"/>
              <w:right w:val="single" w:color="auto" w:sz="4" w:space="0"/>
            </w:tcBorders>
            <w:shd w:val="clear" w:color="000000" w:fill="FFFFFF"/>
            <w:noWrap/>
            <w:vAlign w:val="center"/>
          </w:tcPr>
          <w:p w14:paraId="677E71C6">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276" w:type="dxa"/>
            <w:tcBorders>
              <w:top w:val="nil"/>
              <w:left w:val="nil"/>
              <w:bottom w:val="single" w:color="auto" w:sz="4" w:space="0"/>
              <w:right w:val="single" w:color="auto" w:sz="4" w:space="0"/>
            </w:tcBorders>
            <w:shd w:val="clear" w:color="000000" w:fill="FFFFFF"/>
            <w:vAlign w:val="center"/>
          </w:tcPr>
          <w:p w14:paraId="78DFB635">
            <w:pPr>
              <w:widowControl/>
              <w:jc w:val="center"/>
              <w:rPr>
                <w:rFonts w:hint="eastAsia" w:ascii="宋体" w:hAnsi="宋体" w:cs="宋体"/>
                <w:kern w:val="0"/>
                <w:sz w:val="20"/>
                <w:szCs w:val="20"/>
              </w:rPr>
            </w:pPr>
            <w:r>
              <w:rPr>
                <w:rFonts w:hint="eastAsia" w:ascii="宋体" w:hAnsi="宋体" w:cs="宋体"/>
                <w:kern w:val="0"/>
                <w:sz w:val="20"/>
                <w:szCs w:val="20"/>
              </w:rPr>
              <w:t>体检车DR影像工作站接口费用</w:t>
            </w:r>
          </w:p>
        </w:tc>
        <w:tc>
          <w:tcPr>
            <w:tcW w:w="5596" w:type="dxa"/>
            <w:tcBorders>
              <w:top w:val="nil"/>
              <w:left w:val="nil"/>
              <w:bottom w:val="single" w:color="auto" w:sz="4" w:space="0"/>
              <w:right w:val="single" w:color="auto" w:sz="4" w:space="0"/>
            </w:tcBorders>
            <w:shd w:val="clear" w:color="000000" w:fill="FFFFFF"/>
            <w:vAlign w:val="center"/>
          </w:tcPr>
          <w:p w14:paraId="395E0411">
            <w:pPr>
              <w:widowControl/>
              <w:jc w:val="left"/>
              <w:rPr>
                <w:rFonts w:hint="eastAsia" w:ascii="宋体" w:hAnsi="宋体" w:cs="宋体"/>
                <w:kern w:val="0"/>
                <w:sz w:val="20"/>
                <w:szCs w:val="20"/>
              </w:rPr>
            </w:pPr>
            <w:r>
              <w:rPr>
                <w:rFonts w:hint="eastAsia" w:ascii="宋体" w:hAnsi="宋体" w:cs="宋体"/>
                <w:kern w:val="0"/>
                <w:sz w:val="20"/>
                <w:szCs w:val="20"/>
              </w:rPr>
              <w:t>实现DR影像数据传输，参数如下：</w:t>
            </w:r>
          </w:p>
          <w:p w14:paraId="66CEE0E8">
            <w:pPr>
              <w:widowControl/>
              <w:jc w:val="left"/>
              <w:rPr>
                <w:rFonts w:hint="eastAsia" w:ascii="宋体" w:hAnsi="宋体" w:cs="宋体"/>
                <w:kern w:val="0"/>
                <w:sz w:val="20"/>
                <w:szCs w:val="20"/>
              </w:rPr>
            </w:pPr>
            <w:r>
              <w:rPr>
                <w:rFonts w:hint="eastAsia" w:ascii="宋体" w:hAnsi="宋体" w:cs="宋体"/>
                <w:kern w:val="0"/>
                <w:sz w:val="20"/>
                <w:szCs w:val="20"/>
              </w:rPr>
              <w:t>1.具有DR影像数据的接收、存储、查看、报告、打印、传输等各项功能；</w:t>
            </w:r>
          </w:p>
          <w:p w14:paraId="127C3E50">
            <w:pPr>
              <w:widowControl/>
              <w:jc w:val="left"/>
              <w:rPr>
                <w:rFonts w:ascii="宋体" w:hAnsi="宋体" w:cs="宋体"/>
                <w:kern w:val="0"/>
                <w:sz w:val="20"/>
                <w:szCs w:val="20"/>
              </w:rPr>
            </w:pPr>
            <w:r>
              <w:rPr>
                <w:rFonts w:hint="eastAsia" w:ascii="宋体" w:hAnsi="宋体" w:cs="宋体"/>
                <w:kern w:val="0"/>
                <w:sz w:val="20"/>
                <w:szCs w:val="20"/>
              </w:rPr>
              <w:t>2.界面集成，可将患者基本信息、检查状态列表、报告区域（所见及结论）、实时影像、已采集图像集成同一界面，方便操作；</w:t>
            </w:r>
          </w:p>
          <w:p w14:paraId="2997113B">
            <w:pPr>
              <w:widowControl/>
              <w:jc w:val="left"/>
              <w:rPr>
                <w:rFonts w:hint="eastAsia" w:ascii="宋体" w:hAnsi="宋体" w:cs="宋体"/>
                <w:kern w:val="0"/>
                <w:sz w:val="20"/>
                <w:szCs w:val="20"/>
              </w:rPr>
            </w:pPr>
            <w:r>
              <w:rPr>
                <w:rFonts w:ascii="宋体" w:hAnsi="宋体" w:cs="宋体"/>
                <w:kern w:val="0"/>
                <w:sz w:val="20"/>
                <w:szCs w:val="20"/>
              </w:rPr>
              <w:t>3.</w:t>
            </w:r>
            <w:r>
              <w:rPr>
                <w:rFonts w:hint="eastAsia" w:ascii="宋体" w:hAnsi="宋体" w:cs="宋体"/>
                <w:kern w:val="0"/>
                <w:sz w:val="20"/>
                <w:szCs w:val="20"/>
              </w:rPr>
              <w:t>必须</w:t>
            </w:r>
            <w:r>
              <w:rPr>
                <w:rFonts w:ascii="宋体" w:hAnsi="宋体" w:cs="宋体"/>
                <w:kern w:val="0"/>
                <w:sz w:val="20"/>
                <w:szCs w:val="20"/>
              </w:rPr>
              <w:t>与现有的</w:t>
            </w:r>
            <w:r>
              <w:rPr>
                <w:rFonts w:hint="eastAsia" w:ascii="宋体" w:hAnsi="宋体" w:cs="宋体"/>
                <w:kern w:val="0"/>
                <w:sz w:val="20"/>
                <w:szCs w:val="20"/>
              </w:rPr>
              <w:t>老年人</w:t>
            </w:r>
            <w:r>
              <w:rPr>
                <w:rFonts w:ascii="宋体" w:hAnsi="宋体" w:cs="宋体"/>
                <w:kern w:val="0"/>
                <w:sz w:val="20"/>
                <w:szCs w:val="20"/>
              </w:rPr>
              <w:t>体检管理软件系统实现无缝对接。</w:t>
            </w:r>
          </w:p>
        </w:tc>
        <w:tc>
          <w:tcPr>
            <w:tcW w:w="814" w:type="dxa"/>
            <w:tcBorders>
              <w:top w:val="nil"/>
              <w:left w:val="nil"/>
              <w:bottom w:val="single" w:color="auto" w:sz="4" w:space="0"/>
              <w:right w:val="single" w:color="auto" w:sz="4" w:space="0"/>
            </w:tcBorders>
            <w:shd w:val="clear" w:color="000000" w:fill="FFFFFF"/>
            <w:vAlign w:val="center"/>
          </w:tcPr>
          <w:p w14:paraId="237CBBF5">
            <w:pPr>
              <w:widowControl/>
              <w:jc w:val="center"/>
              <w:rPr>
                <w:rFonts w:hint="eastAsia" w:ascii="宋体" w:hAnsi="宋体" w:cs="宋体"/>
                <w:kern w:val="0"/>
                <w:sz w:val="20"/>
                <w:szCs w:val="20"/>
              </w:rPr>
            </w:pPr>
            <w:r>
              <w:rPr>
                <w:rFonts w:hint="eastAsia" w:ascii="宋体" w:hAnsi="宋体" w:cs="宋体"/>
                <w:kern w:val="0"/>
                <w:sz w:val="20"/>
                <w:szCs w:val="20"/>
              </w:rPr>
              <w:t>索图</w:t>
            </w:r>
          </w:p>
        </w:tc>
        <w:tc>
          <w:tcPr>
            <w:tcW w:w="600" w:type="dxa"/>
            <w:tcBorders>
              <w:top w:val="nil"/>
              <w:left w:val="nil"/>
              <w:bottom w:val="single" w:color="auto" w:sz="4" w:space="0"/>
              <w:right w:val="single" w:color="auto" w:sz="4" w:space="0"/>
            </w:tcBorders>
            <w:shd w:val="clear" w:color="000000" w:fill="FFFFFF"/>
            <w:noWrap/>
            <w:vAlign w:val="center"/>
          </w:tcPr>
          <w:p w14:paraId="03437056">
            <w:pPr>
              <w:widowControl/>
              <w:jc w:val="center"/>
              <w:rPr>
                <w:rFonts w:hint="eastAsia" w:ascii="宋体" w:hAnsi="宋体" w:cs="宋体"/>
                <w:kern w:val="0"/>
                <w:sz w:val="20"/>
                <w:szCs w:val="20"/>
              </w:rPr>
            </w:pPr>
            <w:r>
              <w:rPr>
                <w:rFonts w:hint="eastAsia" w:ascii="宋体" w:hAnsi="宋体" w:cs="宋体"/>
                <w:kern w:val="0"/>
                <w:sz w:val="20"/>
                <w:szCs w:val="20"/>
              </w:rPr>
              <w:t>套</w:t>
            </w:r>
          </w:p>
        </w:tc>
        <w:tc>
          <w:tcPr>
            <w:tcW w:w="739" w:type="dxa"/>
            <w:tcBorders>
              <w:top w:val="nil"/>
              <w:left w:val="nil"/>
              <w:bottom w:val="single" w:color="auto" w:sz="4" w:space="0"/>
              <w:right w:val="single" w:color="auto" w:sz="4" w:space="0"/>
            </w:tcBorders>
            <w:shd w:val="clear" w:color="000000" w:fill="FFFFFF"/>
            <w:vAlign w:val="center"/>
          </w:tcPr>
          <w:p w14:paraId="4D394DE9">
            <w:pPr>
              <w:widowControl/>
              <w:jc w:val="center"/>
              <w:rPr>
                <w:rFonts w:hint="eastAsia" w:ascii="宋体" w:hAnsi="宋体" w:cs="宋体"/>
                <w:kern w:val="0"/>
                <w:sz w:val="20"/>
                <w:szCs w:val="20"/>
              </w:rPr>
            </w:pPr>
            <w:r>
              <w:rPr>
                <w:rFonts w:hint="eastAsia" w:ascii="宋体" w:hAnsi="宋体" w:cs="宋体"/>
                <w:kern w:val="0"/>
                <w:sz w:val="20"/>
                <w:szCs w:val="20"/>
              </w:rPr>
              <w:t>1</w:t>
            </w:r>
          </w:p>
        </w:tc>
      </w:tr>
      <w:tr w14:paraId="5076018C">
        <w:tblPrEx>
          <w:tblCellMar>
            <w:top w:w="0" w:type="dxa"/>
            <w:left w:w="108" w:type="dxa"/>
            <w:bottom w:w="0" w:type="dxa"/>
            <w:right w:w="108" w:type="dxa"/>
          </w:tblCellMar>
        </w:tblPrEx>
        <w:trPr>
          <w:trHeight w:val="765" w:hRule="atLeast"/>
        </w:trPr>
        <w:tc>
          <w:tcPr>
            <w:tcW w:w="567" w:type="dxa"/>
            <w:tcBorders>
              <w:top w:val="nil"/>
              <w:left w:val="single" w:color="auto" w:sz="4" w:space="0"/>
              <w:bottom w:val="single" w:color="auto" w:sz="4" w:space="0"/>
              <w:right w:val="single" w:color="auto" w:sz="4" w:space="0"/>
            </w:tcBorders>
            <w:shd w:val="clear" w:color="000000" w:fill="FFFFFF"/>
            <w:noWrap/>
            <w:vAlign w:val="center"/>
          </w:tcPr>
          <w:p w14:paraId="4F41B27C">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276" w:type="dxa"/>
            <w:tcBorders>
              <w:top w:val="nil"/>
              <w:left w:val="nil"/>
              <w:bottom w:val="single" w:color="auto" w:sz="4" w:space="0"/>
              <w:right w:val="single" w:color="auto" w:sz="4" w:space="0"/>
            </w:tcBorders>
            <w:shd w:val="clear" w:color="000000" w:fill="FFFFFF"/>
            <w:vAlign w:val="center"/>
          </w:tcPr>
          <w:p w14:paraId="26692F37">
            <w:pPr>
              <w:widowControl/>
              <w:jc w:val="center"/>
              <w:rPr>
                <w:rFonts w:hint="eastAsia" w:ascii="宋体" w:hAnsi="宋体" w:cs="宋体"/>
                <w:kern w:val="0"/>
                <w:sz w:val="20"/>
                <w:szCs w:val="20"/>
              </w:rPr>
            </w:pPr>
            <w:r>
              <w:rPr>
                <w:rFonts w:hint="eastAsia" w:ascii="宋体" w:hAnsi="宋体" w:cs="宋体"/>
                <w:kern w:val="0"/>
                <w:sz w:val="20"/>
                <w:szCs w:val="20"/>
              </w:rPr>
              <w:t>一年系统授权使用费用</w:t>
            </w:r>
          </w:p>
        </w:tc>
        <w:tc>
          <w:tcPr>
            <w:tcW w:w="5596" w:type="dxa"/>
            <w:tcBorders>
              <w:top w:val="nil"/>
              <w:left w:val="nil"/>
              <w:bottom w:val="single" w:color="auto" w:sz="4" w:space="0"/>
              <w:right w:val="single" w:color="auto" w:sz="4" w:space="0"/>
            </w:tcBorders>
            <w:shd w:val="clear" w:color="000000" w:fill="FFFFFF"/>
            <w:vAlign w:val="center"/>
          </w:tcPr>
          <w:p w14:paraId="0DA98D9A">
            <w:pPr>
              <w:widowControl/>
              <w:jc w:val="left"/>
              <w:rPr>
                <w:rFonts w:ascii="宋体" w:hAnsi="宋体" w:cs="宋体"/>
                <w:kern w:val="0"/>
                <w:sz w:val="20"/>
                <w:szCs w:val="20"/>
              </w:rPr>
            </w:pPr>
            <w:r>
              <w:rPr>
                <w:rFonts w:hint="eastAsia" w:ascii="宋体" w:hAnsi="宋体" w:cs="宋体"/>
                <w:kern w:val="0"/>
                <w:sz w:val="20"/>
                <w:szCs w:val="20"/>
              </w:rPr>
              <w:t>提供如下服务：</w:t>
            </w:r>
          </w:p>
          <w:p w14:paraId="522F72E3">
            <w:pPr>
              <w:widowControl/>
              <w:jc w:val="left"/>
              <w:rPr>
                <w:rFonts w:hint="eastAsia" w:ascii="宋体" w:hAnsi="宋体" w:cs="宋体"/>
                <w:kern w:val="0"/>
                <w:sz w:val="20"/>
                <w:szCs w:val="20"/>
              </w:rPr>
            </w:pPr>
            <w:r>
              <w:rPr>
                <w:rFonts w:hint="eastAsia" w:ascii="宋体" w:hAnsi="宋体" w:cs="宋体"/>
                <w:kern w:val="0"/>
                <w:sz w:val="20"/>
                <w:szCs w:val="20"/>
              </w:rPr>
              <w:t>一、系统运维</w:t>
            </w:r>
          </w:p>
          <w:p w14:paraId="015747EF">
            <w:pPr>
              <w:widowControl/>
              <w:jc w:val="left"/>
              <w:rPr>
                <w:rFonts w:hint="eastAsia" w:ascii="宋体" w:hAnsi="宋体" w:cs="宋体"/>
                <w:kern w:val="0"/>
                <w:sz w:val="20"/>
                <w:szCs w:val="20"/>
              </w:rPr>
            </w:pPr>
            <w:r>
              <w:rPr>
                <w:rFonts w:hint="eastAsia" w:ascii="宋体" w:hAnsi="宋体" w:cs="宋体"/>
                <w:kern w:val="0"/>
                <w:sz w:val="20"/>
                <w:szCs w:val="20"/>
              </w:rPr>
              <w:t>1.日常巡检：定期对体检系统进行全面巡检，确保系统运行状态正常，发现问题及时处理。</w:t>
            </w:r>
          </w:p>
          <w:p w14:paraId="0C6F4AA8">
            <w:pPr>
              <w:widowControl/>
              <w:jc w:val="left"/>
              <w:rPr>
                <w:rFonts w:hint="eastAsia" w:ascii="宋体" w:hAnsi="宋体" w:cs="宋体"/>
                <w:kern w:val="0"/>
                <w:sz w:val="20"/>
                <w:szCs w:val="20"/>
              </w:rPr>
            </w:pPr>
            <w:r>
              <w:rPr>
                <w:rFonts w:hint="eastAsia" w:ascii="宋体" w:hAnsi="宋体" w:cs="宋体"/>
                <w:kern w:val="0"/>
                <w:sz w:val="20"/>
                <w:szCs w:val="20"/>
              </w:rPr>
              <w:t>2.故障处理：快速响应系统故障，及时定位问题并修复，保障系统正常运行。</w:t>
            </w:r>
          </w:p>
          <w:p w14:paraId="248FD6AA">
            <w:pPr>
              <w:widowControl/>
              <w:jc w:val="left"/>
              <w:rPr>
                <w:rFonts w:hint="eastAsia" w:ascii="宋体" w:hAnsi="宋体" w:cs="宋体"/>
                <w:kern w:val="0"/>
                <w:sz w:val="20"/>
                <w:szCs w:val="20"/>
              </w:rPr>
            </w:pPr>
            <w:r>
              <w:rPr>
                <w:rFonts w:hint="eastAsia" w:ascii="宋体" w:hAnsi="宋体" w:cs="宋体"/>
                <w:kern w:val="0"/>
                <w:sz w:val="20"/>
                <w:szCs w:val="20"/>
              </w:rPr>
              <w:t>3.系统监控：实时监控系统运行状态，包括服务器负载、数据库状态、网络连接等，确保系统稳定性。</w:t>
            </w:r>
          </w:p>
          <w:p w14:paraId="3D2B0F9D">
            <w:pPr>
              <w:widowControl/>
              <w:jc w:val="left"/>
              <w:rPr>
                <w:rFonts w:hint="eastAsia" w:ascii="宋体" w:hAnsi="宋体" w:cs="宋体"/>
                <w:kern w:val="0"/>
                <w:sz w:val="20"/>
                <w:szCs w:val="20"/>
              </w:rPr>
            </w:pPr>
            <w:r>
              <w:rPr>
                <w:rFonts w:hint="eastAsia" w:ascii="宋体" w:hAnsi="宋体" w:cs="宋体"/>
                <w:kern w:val="0"/>
                <w:sz w:val="20"/>
                <w:szCs w:val="20"/>
              </w:rPr>
              <w:t>4.日志管理：定期检查系统日志，分析潜在问题，预防系统故障。</w:t>
            </w:r>
          </w:p>
          <w:p w14:paraId="3802BFAF">
            <w:pPr>
              <w:widowControl/>
              <w:jc w:val="left"/>
              <w:rPr>
                <w:rFonts w:hint="eastAsia" w:ascii="宋体" w:hAnsi="宋体" w:cs="宋体"/>
                <w:kern w:val="0"/>
                <w:sz w:val="20"/>
                <w:szCs w:val="20"/>
              </w:rPr>
            </w:pPr>
            <w:r>
              <w:rPr>
                <w:rFonts w:hint="eastAsia" w:ascii="宋体" w:hAnsi="宋体" w:cs="宋体"/>
                <w:kern w:val="0"/>
                <w:sz w:val="20"/>
                <w:szCs w:val="20"/>
              </w:rPr>
              <w:t>二、数据管理</w:t>
            </w:r>
          </w:p>
          <w:p w14:paraId="5C805CDC">
            <w:pPr>
              <w:widowControl/>
              <w:jc w:val="left"/>
              <w:rPr>
                <w:rFonts w:hint="eastAsia" w:ascii="宋体" w:hAnsi="宋体" w:cs="宋体"/>
                <w:kern w:val="0"/>
                <w:sz w:val="20"/>
                <w:szCs w:val="20"/>
              </w:rPr>
            </w:pPr>
            <w:r>
              <w:rPr>
                <w:rFonts w:hint="eastAsia" w:ascii="宋体" w:hAnsi="宋体" w:cs="宋体"/>
                <w:kern w:val="0"/>
                <w:sz w:val="20"/>
                <w:szCs w:val="20"/>
              </w:rPr>
              <w:t>1.数据备份：定期对体检系统数据进行备份，确保数据安全。</w:t>
            </w:r>
          </w:p>
          <w:p w14:paraId="43775E48">
            <w:pPr>
              <w:widowControl/>
              <w:jc w:val="left"/>
              <w:rPr>
                <w:rFonts w:hint="eastAsia" w:ascii="宋体" w:hAnsi="宋体" w:cs="宋体"/>
                <w:kern w:val="0"/>
                <w:sz w:val="20"/>
                <w:szCs w:val="20"/>
              </w:rPr>
            </w:pPr>
            <w:r>
              <w:rPr>
                <w:rFonts w:hint="eastAsia" w:ascii="宋体" w:hAnsi="宋体" w:cs="宋体"/>
                <w:kern w:val="0"/>
                <w:sz w:val="20"/>
                <w:szCs w:val="20"/>
              </w:rPr>
              <w:t>2.数据恢复：在系统故障或数据丢失时，快速恢复数据，确保业务连续性。</w:t>
            </w:r>
          </w:p>
          <w:p w14:paraId="5568BB62">
            <w:pPr>
              <w:widowControl/>
              <w:jc w:val="left"/>
              <w:rPr>
                <w:rFonts w:hint="eastAsia" w:ascii="宋体" w:hAnsi="宋体" w:cs="宋体"/>
                <w:kern w:val="0"/>
                <w:sz w:val="20"/>
                <w:szCs w:val="20"/>
              </w:rPr>
            </w:pPr>
            <w:r>
              <w:rPr>
                <w:rFonts w:hint="eastAsia" w:ascii="宋体" w:hAnsi="宋体" w:cs="宋体"/>
                <w:kern w:val="0"/>
                <w:sz w:val="20"/>
                <w:szCs w:val="20"/>
              </w:rPr>
              <w:t>3.数据清理：定期清理过期或无效数据，优化数据库性能，提升系统运行效率。</w:t>
            </w:r>
          </w:p>
          <w:p w14:paraId="2DE98687">
            <w:pPr>
              <w:widowControl/>
              <w:jc w:val="left"/>
              <w:rPr>
                <w:rFonts w:hint="eastAsia" w:ascii="宋体" w:hAnsi="宋体" w:cs="宋体"/>
                <w:kern w:val="0"/>
                <w:sz w:val="20"/>
                <w:szCs w:val="20"/>
              </w:rPr>
            </w:pPr>
            <w:r>
              <w:rPr>
                <w:rFonts w:hint="eastAsia" w:ascii="宋体" w:hAnsi="宋体" w:cs="宋体"/>
                <w:kern w:val="0"/>
                <w:sz w:val="20"/>
                <w:szCs w:val="20"/>
              </w:rPr>
              <w:t>三、用户支持</w:t>
            </w:r>
          </w:p>
          <w:p w14:paraId="72DAC068">
            <w:pPr>
              <w:widowControl/>
              <w:jc w:val="left"/>
              <w:rPr>
                <w:rFonts w:hint="eastAsia" w:ascii="宋体" w:hAnsi="宋体" w:cs="宋体"/>
                <w:kern w:val="0"/>
                <w:sz w:val="20"/>
                <w:szCs w:val="20"/>
              </w:rPr>
            </w:pPr>
            <w:r>
              <w:rPr>
                <w:rFonts w:hint="eastAsia" w:ascii="宋体" w:hAnsi="宋体" w:cs="宋体"/>
                <w:kern w:val="0"/>
                <w:sz w:val="20"/>
                <w:szCs w:val="20"/>
              </w:rPr>
              <w:t>1.技术支持：为用户的医护人员提供技术支持，解决用户在使用体检系统过程中遇到的问题。</w:t>
            </w:r>
          </w:p>
          <w:p w14:paraId="4D144E0A">
            <w:pPr>
              <w:widowControl/>
              <w:jc w:val="left"/>
              <w:rPr>
                <w:rFonts w:hint="eastAsia" w:ascii="宋体" w:hAnsi="宋体" w:cs="宋体"/>
                <w:kern w:val="0"/>
                <w:sz w:val="20"/>
                <w:szCs w:val="20"/>
              </w:rPr>
            </w:pPr>
            <w:r>
              <w:rPr>
                <w:rFonts w:hint="eastAsia" w:ascii="宋体" w:hAnsi="宋体" w:cs="宋体"/>
                <w:kern w:val="0"/>
                <w:sz w:val="20"/>
                <w:szCs w:val="20"/>
              </w:rPr>
              <w:t>2.用户培训：不定期为系统用户开展操作培训，提升用户对系统的使用能力。</w:t>
            </w:r>
          </w:p>
          <w:p w14:paraId="1F02C401">
            <w:pPr>
              <w:widowControl/>
              <w:jc w:val="left"/>
              <w:rPr>
                <w:rFonts w:hint="eastAsia" w:ascii="宋体" w:hAnsi="宋体" w:cs="宋体"/>
                <w:kern w:val="0"/>
                <w:sz w:val="20"/>
                <w:szCs w:val="20"/>
              </w:rPr>
            </w:pPr>
            <w:r>
              <w:rPr>
                <w:rFonts w:hint="eastAsia" w:ascii="宋体" w:hAnsi="宋体" w:cs="宋体"/>
                <w:kern w:val="0"/>
                <w:sz w:val="20"/>
                <w:szCs w:val="20"/>
              </w:rPr>
              <w:t>3.问题反馈：建立问题反馈机制，及时收集用户意见和建议，优化系统功能。</w:t>
            </w:r>
          </w:p>
          <w:p w14:paraId="48262332">
            <w:pPr>
              <w:widowControl/>
              <w:jc w:val="left"/>
              <w:rPr>
                <w:rFonts w:hint="eastAsia" w:ascii="宋体" w:hAnsi="宋体" w:cs="宋体"/>
                <w:kern w:val="0"/>
                <w:sz w:val="20"/>
                <w:szCs w:val="20"/>
              </w:rPr>
            </w:pPr>
            <w:r>
              <w:rPr>
                <w:rFonts w:hint="eastAsia" w:ascii="宋体" w:hAnsi="宋体" w:cs="宋体"/>
                <w:kern w:val="0"/>
                <w:sz w:val="20"/>
                <w:szCs w:val="20"/>
              </w:rPr>
              <w:t>四、安全运维</w:t>
            </w:r>
          </w:p>
          <w:p w14:paraId="7A20FDEB">
            <w:pPr>
              <w:widowControl/>
              <w:jc w:val="left"/>
              <w:rPr>
                <w:rFonts w:hint="eastAsia" w:ascii="宋体" w:hAnsi="宋体" w:cs="宋体"/>
                <w:kern w:val="0"/>
                <w:sz w:val="20"/>
                <w:szCs w:val="20"/>
              </w:rPr>
            </w:pPr>
            <w:r>
              <w:rPr>
                <w:rFonts w:hint="eastAsia" w:ascii="宋体" w:hAnsi="宋体" w:cs="宋体"/>
                <w:kern w:val="0"/>
                <w:sz w:val="20"/>
                <w:szCs w:val="20"/>
              </w:rPr>
              <w:t>1.漏洞修复：定期检查系统安全漏洞，及时修复，防止系统被攻击或数据泄露。</w:t>
            </w:r>
          </w:p>
          <w:p w14:paraId="5EBA0885">
            <w:pPr>
              <w:widowControl/>
              <w:jc w:val="left"/>
              <w:rPr>
                <w:rFonts w:hint="eastAsia" w:ascii="宋体" w:hAnsi="宋体" w:cs="宋体"/>
                <w:kern w:val="0"/>
                <w:sz w:val="20"/>
                <w:szCs w:val="20"/>
              </w:rPr>
            </w:pPr>
            <w:r>
              <w:rPr>
                <w:rFonts w:hint="eastAsia" w:ascii="宋体" w:hAnsi="宋体" w:cs="宋体"/>
                <w:kern w:val="0"/>
                <w:sz w:val="20"/>
                <w:szCs w:val="20"/>
              </w:rPr>
              <w:t>2.权限管理：根据用户的需求，合理分配系统权限，确保数据安全。</w:t>
            </w:r>
          </w:p>
          <w:p w14:paraId="21E5C2BD">
            <w:pPr>
              <w:widowControl/>
              <w:jc w:val="left"/>
              <w:rPr>
                <w:rFonts w:hint="eastAsia" w:ascii="宋体" w:hAnsi="宋体" w:cs="宋体"/>
                <w:kern w:val="0"/>
                <w:sz w:val="20"/>
                <w:szCs w:val="20"/>
              </w:rPr>
            </w:pPr>
            <w:r>
              <w:rPr>
                <w:rFonts w:hint="eastAsia" w:ascii="宋体" w:hAnsi="宋体" w:cs="宋体"/>
                <w:kern w:val="0"/>
                <w:sz w:val="20"/>
                <w:szCs w:val="20"/>
              </w:rPr>
              <w:t>五、优化升级</w:t>
            </w:r>
          </w:p>
          <w:p w14:paraId="066CA022">
            <w:pPr>
              <w:widowControl/>
              <w:jc w:val="left"/>
              <w:rPr>
                <w:rFonts w:hint="eastAsia" w:ascii="宋体" w:hAnsi="宋体" w:cs="宋体"/>
                <w:kern w:val="0"/>
                <w:sz w:val="20"/>
                <w:szCs w:val="20"/>
              </w:rPr>
            </w:pPr>
            <w:r>
              <w:rPr>
                <w:rFonts w:hint="eastAsia" w:ascii="宋体" w:hAnsi="宋体" w:cs="宋体"/>
                <w:kern w:val="0"/>
                <w:sz w:val="20"/>
                <w:szCs w:val="20"/>
              </w:rPr>
              <w:t>1.系统优化：根据系统运行情况，提出优化建议，提升系统性能和用户体验。</w:t>
            </w:r>
          </w:p>
          <w:p w14:paraId="2C452799">
            <w:pPr>
              <w:widowControl/>
              <w:jc w:val="left"/>
              <w:rPr>
                <w:rFonts w:hint="eastAsia" w:ascii="宋体" w:hAnsi="宋体" w:cs="宋体"/>
                <w:kern w:val="0"/>
                <w:sz w:val="20"/>
                <w:szCs w:val="20"/>
              </w:rPr>
            </w:pPr>
            <w:r>
              <w:rPr>
                <w:rFonts w:hint="eastAsia" w:ascii="宋体" w:hAnsi="宋体" w:cs="宋体"/>
                <w:kern w:val="0"/>
                <w:sz w:val="20"/>
                <w:szCs w:val="20"/>
              </w:rPr>
              <w:t>2.版本管理：管理系统的版本更新，确保系统版本的稳定性和兼容性。</w:t>
            </w:r>
          </w:p>
        </w:tc>
        <w:tc>
          <w:tcPr>
            <w:tcW w:w="814" w:type="dxa"/>
            <w:tcBorders>
              <w:top w:val="nil"/>
              <w:left w:val="nil"/>
              <w:bottom w:val="single" w:color="auto" w:sz="4" w:space="0"/>
              <w:right w:val="single" w:color="auto" w:sz="4" w:space="0"/>
            </w:tcBorders>
            <w:shd w:val="clear" w:color="000000" w:fill="FFFFFF"/>
            <w:vAlign w:val="center"/>
          </w:tcPr>
          <w:p w14:paraId="740CF185">
            <w:pPr>
              <w:widowControl/>
              <w:jc w:val="center"/>
              <w:rPr>
                <w:rFonts w:hint="eastAsia" w:ascii="宋体" w:hAnsi="宋体" w:cs="宋体"/>
                <w:kern w:val="0"/>
                <w:sz w:val="20"/>
                <w:szCs w:val="20"/>
              </w:rPr>
            </w:pPr>
            <w:r>
              <w:rPr>
                <w:rFonts w:hint="eastAsia" w:ascii="宋体" w:hAnsi="宋体" w:cs="宋体"/>
                <w:kern w:val="0"/>
                <w:sz w:val="20"/>
                <w:szCs w:val="20"/>
              </w:rPr>
              <w:t>好医生</w:t>
            </w:r>
          </w:p>
        </w:tc>
        <w:tc>
          <w:tcPr>
            <w:tcW w:w="600" w:type="dxa"/>
            <w:tcBorders>
              <w:top w:val="nil"/>
              <w:left w:val="nil"/>
              <w:bottom w:val="single" w:color="auto" w:sz="4" w:space="0"/>
              <w:right w:val="single" w:color="auto" w:sz="4" w:space="0"/>
            </w:tcBorders>
            <w:shd w:val="clear" w:color="000000" w:fill="FFFFFF"/>
            <w:noWrap/>
            <w:vAlign w:val="center"/>
          </w:tcPr>
          <w:p w14:paraId="2F9A6C76">
            <w:pPr>
              <w:widowControl/>
              <w:rPr>
                <w:rFonts w:hint="eastAsia" w:ascii="宋体" w:hAnsi="宋体" w:cs="宋体"/>
                <w:kern w:val="0"/>
                <w:sz w:val="20"/>
                <w:szCs w:val="20"/>
              </w:rPr>
            </w:pPr>
            <w:r>
              <w:rPr>
                <w:rFonts w:hint="eastAsia" w:ascii="宋体" w:hAnsi="宋体" w:cs="宋体"/>
                <w:kern w:val="0"/>
                <w:sz w:val="20"/>
                <w:szCs w:val="20"/>
              </w:rPr>
              <w:t>项</w:t>
            </w:r>
          </w:p>
        </w:tc>
        <w:tc>
          <w:tcPr>
            <w:tcW w:w="739" w:type="dxa"/>
            <w:tcBorders>
              <w:top w:val="nil"/>
              <w:left w:val="nil"/>
              <w:bottom w:val="single" w:color="auto" w:sz="4" w:space="0"/>
              <w:right w:val="single" w:color="auto" w:sz="4" w:space="0"/>
            </w:tcBorders>
            <w:shd w:val="clear" w:color="000000" w:fill="FFFFFF"/>
            <w:vAlign w:val="center"/>
          </w:tcPr>
          <w:p w14:paraId="523FA922">
            <w:pPr>
              <w:widowControl/>
              <w:jc w:val="center"/>
              <w:rPr>
                <w:rFonts w:hint="eastAsia" w:ascii="宋体" w:hAnsi="宋体" w:cs="宋体"/>
                <w:kern w:val="0"/>
                <w:sz w:val="20"/>
                <w:szCs w:val="20"/>
              </w:rPr>
            </w:pPr>
            <w:r>
              <w:rPr>
                <w:rFonts w:hint="eastAsia" w:ascii="宋体" w:hAnsi="宋体" w:cs="宋体"/>
                <w:kern w:val="0"/>
                <w:sz w:val="20"/>
                <w:szCs w:val="20"/>
              </w:rPr>
              <w:t>1</w:t>
            </w:r>
          </w:p>
        </w:tc>
      </w:tr>
    </w:tbl>
    <w:p w14:paraId="2BEE8BCC">
      <w:pPr>
        <w:numPr>
          <w:ilvl w:val="0"/>
          <w:numId w:val="0"/>
        </w:numPr>
        <w:spacing w:line="360" w:lineRule="auto"/>
        <w:rPr>
          <w:rFonts w:hint="eastAsia" w:ascii="宋体" w:hAnsi="宋体" w:eastAsia="宋体" w:cs="宋体"/>
          <w:sz w:val="21"/>
          <w:szCs w:val="21"/>
        </w:rPr>
      </w:pPr>
    </w:p>
    <w:p w14:paraId="75DC45E1">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b/>
          <w:kern w:val="2"/>
          <w:sz w:val="21"/>
          <w:szCs w:val="21"/>
          <w:lang w:val="en-US" w:eastAsia="zh-CN" w:bidi="ar-SA"/>
        </w:rPr>
        <w:t>二、付款方式</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 xml:space="preserve">    签订合同后，成交供应商供货并安装调试合格后，出具等额有效发票30个工作日内支付合同金额50%，本年度老年人体检项目完成后支付余额50%。</w:t>
      </w:r>
    </w:p>
    <w:p w14:paraId="47B7B043">
      <w:pPr>
        <w:numPr>
          <w:ilvl w:val="0"/>
          <w:numId w:val="0"/>
        </w:numPr>
        <w:spacing w:line="360" w:lineRule="auto"/>
        <w:ind w:firstLine="420" w:firstLineChars="200"/>
        <w:rPr>
          <w:rFonts w:hint="default" w:asciiTheme="minorEastAsia" w:hAnsiTheme="minorEastAsia" w:eastAsiaTheme="minorEastAsia" w:cstheme="minorEastAsia"/>
          <w:sz w:val="21"/>
          <w:szCs w:val="21"/>
          <w:lang w:val="en-US" w:eastAsia="zh-CN"/>
        </w:rPr>
      </w:pPr>
      <w:bookmarkStart w:id="0" w:name="_GoBack"/>
      <w:bookmarkEnd w:id="0"/>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三</w:t>
      </w:r>
      <w:r>
        <w:rPr>
          <w:rFonts w:hint="eastAsia" w:asciiTheme="minorEastAsia" w:hAnsiTheme="minorEastAsia" w:eastAsiaTheme="minorEastAsia" w:cstheme="minorEastAsia"/>
          <w:b/>
          <w:sz w:val="21"/>
          <w:szCs w:val="21"/>
          <w:lang w:val="en-US" w:eastAsia="zh-CN"/>
        </w:rPr>
        <w:t>、报价要求</w:t>
      </w:r>
    </w:p>
    <w:p w14:paraId="5EF4F738">
      <w:pPr>
        <w:pStyle w:val="9"/>
        <w:rPr>
          <w:rFonts w:ascii="微软雅黑" w:hAnsi="微软雅黑" w:eastAsia="微软雅黑"/>
        </w:rPr>
      </w:pPr>
      <w:r>
        <w:rPr>
          <w:rFonts w:hint="eastAsia"/>
        </w:rPr>
        <w:t>报价供应商必须按要求完整填写相关附表，并签字盖章。</w:t>
      </w:r>
    </w:p>
    <w:p w14:paraId="1F29FFBF">
      <w:pPr>
        <w:pStyle w:val="9"/>
        <w:rPr>
          <w:rFonts w:ascii="微软雅黑" w:hAnsi="微软雅黑" w:eastAsia="微软雅黑"/>
        </w:rPr>
      </w:pPr>
      <w:r>
        <w:rPr>
          <w:rFonts w:hint="eastAsia"/>
        </w:rPr>
        <w:t>备注：</w:t>
      </w:r>
    </w:p>
    <w:p w14:paraId="6F502451">
      <w:pPr>
        <w:pStyle w:val="9"/>
        <w:rPr>
          <w:rFonts w:ascii="微软雅黑" w:hAnsi="微软雅黑" w:eastAsia="微软雅黑"/>
        </w:rPr>
      </w:pPr>
      <w:r>
        <w:rPr>
          <w:rFonts w:hint="eastAsia"/>
        </w:rPr>
        <w:t>1、该报价文件要求一正一副，密封递交。</w:t>
      </w:r>
    </w:p>
    <w:p w14:paraId="3F73B465">
      <w:pPr>
        <w:pStyle w:val="9"/>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9"/>
        <w:rPr>
          <w:rFonts w:ascii="微软雅黑" w:hAnsi="微软雅黑" w:eastAsia="微软雅黑"/>
        </w:rPr>
      </w:pPr>
      <w:r>
        <w:rPr>
          <w:rFonts w:hint="eastAsia"/>
        </w:rPr>
        <w:t>3、密封外包装加盖供应商印章。</w:t>
      </w:r>
    </w:p>
    <w:p w14:paraId="0D88FDC3">
      <w:pPr>
        <w:pStyle w:val="9"/>
        <w:rPr>
          <w:rFonts w:ascii="微软雅黑" w:hAnsi="微软雅黑" w:eastAsia="微软雅黑"/>
        </w:rPr>
      </w:pPr>
      <w:r>
        <w:rPr>
          <w:rFonts w:hint="eastAsia"/>
        </w:rPr>
        <w:t>4、如果未按要求密封和标记，采购人对误投或提前启封概不负责。</w:t>
      </w:r>
    </w:p>
    <w:p w14:paraId="4EA00816">
      <w:pPr>
        <w:pStyle w:val="9"/>
      </w:pPr>
      <w:r>
        <w:rPr>
          <w:rFonts w:hint="eastAsia"/>
        </w:rPr>
        <w:t>5、★供应商必须根据采购项目的技术参数按顺序逐条响应，佐证材料标注页码，否则可作废处理。</w:t>
      </w:r>
      <w:r>
        <w:t xml:space="preserve">        </w:t>
      </w:r>
    </w:p>
    <w:p w14:paraId="3F0AD8CF">
      <w:pPr>
        <w:pStyle w:val="9"/>
        <w:rPr>
          <w:rFonts w:ascii="微软雅黑" w:hAnsi="微软雅黑" w:eastAsia="微软雅黑"/>
        </w:rPr>
      </w:pPr>
    </w:p>
    <w:p w14:paraId="3E2F8DB3">
      <w:pPr>
        <w:pStyle w:val="9"/>
        <w:rPr>
          <w:rFonts w:ascii="微软雅黑" w:hAnsi="微软雅黑" w:eastAsia="微软雅黑"/>
        </w:rPr>
      </w:pPr>
    </w:p>
    <w:p w14:paraId="1F9042DE">
      <w:pPr>
        <w:pStyle w:val="9"/>
        <w:rPr>
          <w:rFonts w:ascii="微软雅黑" w:hAnsi="微软雅黑" w:eastAsia="微软雅黑"/>
        </w:rPr>
      </w:pPr>
    </w:p>
    <w:p w14:paraId="1ABF8F97">
      <w:pPr>
        <w:pStyle w:val="9"/>
        <w:rPr>
          <w:rFonts w:ascii="微软雅黑" w:hAnsi="微软雅黑" w:eastAsia="微软雅黑"/>
        </w:rPr>
      </w:pPr>
    </w:p>
    <w:p w14:paraId="4C54D355">
      <w:pPr>
        <w:pStyle w:val="9"/>
        <w:rPr>
          <w:rFonts w:ascii="微软雅黑" w:hAnsi="微软雅黑" w:eastAsia="微软雅黑"/>
        </w:rPr>
      </w:pPr>
    </w:p>
    <w:p w14:paraId="1ACAE2C9">
      <w:pPr>
        <w:pStyle w:val="9"/>
        <w:rPr>
          <w:rFonts w:ascii="微软雅黑" w:hAnsi="微软雅黑" w:eastAsia="微软雅黑"/>
        </w:rPr>
      </w:pPr>
    </w:p>
    <w:p w14:paraId="368DF5D7">
      <w:pPr>
        <w:pStyle w:val="9"/>
        <w:rPr>
          <w:rFonts w:ascii="微软雅黑" w:hAnsi="微软雅黑" w:eastAsia="微软雅黑"/>
        </w:rPr>
      </w:pPr>
    </w:p>
    <w:p w14:paraId="7A357160">
      <w:pPr>
        <w:rPr>
          <w:rFonts w:hint="eastAsia" w:asciiTheme="minorEastAsia" w:hAnsiTheme="minorEastAsia" w:eastAsiaTheme="minorEastAsia" w:cstheme="minorEastAsia"/>
          <w:sz w:val="21"/>
          <w:szCs w:val="21"/>
          <w:lang w:eastAsia="zh-CN"/>
        </w:rPr>
      </w:pP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中山市古镇人民医院2026年古镇镇65岁及以上老年人健康管理服务体检系统改造及其他服务项目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3"/>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2"/>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2"/>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9"/>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03293A-8544-44E2-8BCE-EF9F4407E153}"/>
  </w:font>
  <w:font w:name="黑体">
    <w:panose1 w:val="02010609060101010101"/>
    <w:charset w:val="86"/>
    <w:family w:val="auto"/>
    <w:pitch w:val="default"/>
    <w:sig w:usb0="800002BF" w:usb1="38CF7CFA" w:usb2="00000016" w:usb3="00000000" w:csb0="00040001" w:csb1="00000000"/>
    <w:embedRegular r:id="rId2" w:fontKey="{4A3BC0D5-74EC-4095-B2D6-DA8B736D3E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796F2D0-5CD7-4EB0-8E32-FB41B0A7E166}"/>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4" w:fontKey="{19617EF0-D8B8-4788-9BAB-2A8B70B79398}"/>
  </w:font>
  <w:font w:name="汉仪中黑简">
    <w:panose1 w:val="02010600000101010101"/>
    <w:charset w:val="86"/>
    <w:family w:val="auto"/>
    <w:pitch w:val="default"/>
    <w:sig w:usb0="00000001" w:usb1="080E0800" w:usb2="00000002" w:usb3="00000000" w:csb0="00040000" w:csb1="00000000"/>
    <w:embedRegular r:id="rId5" w:fontKey="{573691A9-D6CA-4869-9F06-5B49EE589B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AFEB178"/>
    <w:multiLevelType w:val="singleLevel"/>
    <w:tmpl w:val="5AFEB17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358401E"/>
    <w:rsid w:val="096343C5"/>
    <w:rsid w:val="0A20501F"/>
    <w:rsid w:val="0AF74548"/>
    <w:rsid w:val="0FEE78CD"/>
    <w:rsid w:val="13872B27"/>
    <w:rsid w:val="13A252B3"/>
    <w:rsid w:val="151439D2"/>
    <w:rsid w:val="1600573D"/>
    <w:rsid w:val="1688195D"/>
    <w:rsid w:val="17DE1280"/>
    <w:rsid w:val="1A4F2543"/>
    <w:rsid w:val="1F264A2D"/>
    <w:rsid w:val="1FF468DA"/>
    <w:rsid w:val="216923C7"/>
    <w:rsid w:val="2AD92954"/>
    <w:rsid w:val="2F983443"/>
    <w:rsid w:val="317F364C"/>
    <w:rsid w:val="322D2222"/>
    <w:rsid w:val="32AE2918"/>
    <w:rsid w:val="32B91648"/>
    <w:rsid w:val="3A900623"/>
    <w:rsid w:val="3D98059B"/>
    <w:rsid w:val="3DBA75E2"/>
    <w:rsid w:val="40037848"/>
    <w:rsid w:val="4012471B"/>
    <w:rsid w:val="48B85F79"/>
    <w:rsid w:val="48E829AC"/>
    <w:rsid w:val="4A0A01F6"/>
    <w:rsid w:val="4C29594F"/>
    <w:rsid w:val="4C7664D1"/>
    <w:rsid w:val="4E110ACB"/>
    <w:rsid w:val="4F84695F"/>
    <w:rsid w:val="52154D37"/>
    <w:rsid w:val="55530C3C"/>
    <w:rsid w:val="5669507B"/>
    <w:rsid w:val="59E950F3"/>
    <w:rsid w:val="5B29680B"/>
    <w:rsid w:val="5EA63358"/>
    <w:rsid w:val="640A5DBF"/>
    <w:rsid w:val="64EA5182"/>
    <w:rsid w:val="6A010552"/>
    <w:rsid w:val="6EED08A1"/>
    <w:rsid w:val="765A3553"/>
    <w:rsid w:val="77954AC0"/>
    <w:rsid w:val="782E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customStyle="1" w:styleId="14">
    <w:name w:val="页眉 字符"/>
    <w:basedOn w:val="12"/>
    <w:link w:val="7"/>
    <w:autoRedefine/>
    <w:qFormat/>
    <w:uiPriority w:val="99"/>
    <w:rPr>
      <w:sz w:val="18"/>
      <w:szCs w:val="18"/>
    </w:rPr>
  </w:style>
  <w:style w:type="character" w:customStyle="1" w:styleId="15">
    <w:name w:val="页脚 字符"/>
    <w:basedOn w:val="12"/>
    <w:link w:val="6"/>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font51"/>
    <w:basedOn w:val="12"/>
    <w:autoRedefine/>
    <w:qFormat/>
    <w:uiPriority w:val="0"/>
    <w:rPr>
      <w:rFonts w:ascii="宋体" w:hAnsi="宋体" w:eastAsia="宋体" w:cs="宋体"/>
      <w:b/>
      <w:bCs/>
      <w:color w:val="000000"/>
      <w:sz w:val="16"/>
      <w:szCs w:val="16"/>
      <w:u w:val="none"/>
    </w:rPr>
  </w:style>
  <w:style w:type="character" w:customStyle="1" w:styleId="18">
    <w:name w:val="font41"/>
    <w:basedOn w:val="12"/>
    <w:autoRedefine/>
    <w:qFormat/>
    <w:uiPriority w:val="0"/>
    <w:rPr>
      <w:rFonts w:ascii="宋体" w:hAnsi="宋体" w:eastAsia="宋体" w:cs="宋体"/>
      <w:color w:val="000000"/>
      <w:sz w:val="16"/>
      <w:szCs w:val="16"/>
      <w:u w:val="none"/>
    </w:rPr>
  </w:style>
  <w:style w:type="character" w:customStyle="1" w:styleId="19">
    <w:name w:val="font21"/>
    <w:basedOn w:val="12"/>
    <w:autoRedefine/>
    <w:qFormat/>
    <w:uiPriority w:val="0"/>
    <w:rPr>
      <w:rFonts w:ascii="宋体" w:hAnsi="宋体" w:eastAsia="宋体" w:cs="宋体"/>
      <w:color w:val="000000"/>
      <w:sz w:val="8"/>
      <w:szCs w:val="8"/>
      <w:u w:val="none"/>
    </w:rPr>
  </w:style>
  <w:style w:type="character" w:customStyle="1" w:styleId="20">
    <w:name w:val="font61"/>
    <w:basedOn w:val="12"/>
    <w:autoRedefine/>
    <w:qFormat/>
    <w:uiPriority w:val="0"/>
    <w:rPr>
      <w:rFonts w:ascii="宋体" w:hAnsi="宋体" w:eastAsia="宋体" w:cs="宋体"/>
      <w:b/>
      <w:bCs/>
      <w:color w:val="000000"/>
      <w:sz w:val="10"/>
      <w:szCs w:val="10"/>
      <w:u w:val="none"/>
    </w:rPr>
  </w:style>
  <w:style w:type="character" w:customStyle="1" w:styleId="21">
    <w:name w:val="font71"/>
    <w:basedOn w:val="12"/>
    <w:autoRedefine/>
    <w:qFormat/>
    <w:uiPriority w:val="0"/>
    <w:rPr>
      <w:rFonts w:ascii="黑体" w:hAnsi="宋体" w:eastAsia="黑体" w:cs="黑体"/>
      <w:b/>
      <w:bCs/>
      <w:color w:val="000000"/>
      <w:sz w:val="12"/>
      <w:szCs w:val="12"/>
      <w:u w:val="none"/>
    </w:rPr>
  </w:style>
  <w:style w:type="character" w:customStyle="1" w:styleId="22">
    <w:name w:val="font31"/>
    <w:basedOn w:val="12"/>
    <w:autoRedefine/>
    <w:qFormat/>
    <w:uiPriority w:val="0"/>
    <w:rPr>
      <w:rFonts w:ascii="宋体" w:hAnsi="宋体" w:eastAsia="宋体" w:cs="宋体"/>
      <w:color w:val="000000"/>
      <w:sz w:val="8"/>
      <w:szCs w:val="8"/>
      <w:u w:val="none"/>
    </w:rPr>
  </w:style>
  <w:style w:type="character" w:customStyle="1" w:styleId="23">
    <w:name w:val="font81"/>
    <w:basedOn w:val="12"/>
    <w:autoRedefine/>
    <w:qFormat/>
    <w:uiPriority w:val="0"/>
    <w:rPr>
      <w:rFonts w:hint="default" w:ascii="Arial" w:hAnsi="Arial" w:cs="Arial"/>
      <w:color w:val="000000"/>
      <w:sz w:val="7"/>
      <w:szCs w:val="7"/>
      <w:u w:val="none"/>
    </w:rPr>
  </w:style>
  <w:style w:type="character" w:customStyle="1" w:styleId="24">
    <w:name w:val="font91"/>
    <w:basedOn w:val="12"/>
    <w:autoRedefine/>
    <w:qFormat/>
    <w:uiPriority w:val="0"/>
    <w:rPr>
      <w:rFonts w:ascii="隶书" w:hAnsi="隶书" w:eastAsia="隶书" w:cs="隶书"/>
      <w:color w:val="000000"/>
      <w:sz w:val="8"/>
      <w:szCs w:val="8"/>
      <w:u w:val="none"/>
    </w:rPr>
  </w:style>
  <w:style w:type="character" w:customStyle="1" w:styleId="25">
    <w:name w:val="font101"/>
    <w:basedOn w:val="12"/>
    <w:autoRedefine/>
    <w:qFormat/>
    <w:uiPriority w:val="0"/>
    <w:rPr>
      <w:rFonts w:hint="default" w:ascii="Arial" w:hAnsi="Arial" w:cs="Arial"/>
      <w:color w:val="000000"/>
      <w:sz w:val="8"/>
      <w:szCs w:val="8"/>
      <w:u w:val="none"/>
    </w:rPr>
  </w:style>
  <w:style w:type="character" w:customStyle="1" w:styleId="26">
    <w:name w:val="font112"/>
    <w:basedOn w:val="12"/>
    <w:autoRedefine/>
    <w:qFormat/>
    <w:uiPriority w:val="0"/>
    <w:rPr>
      <w:rFonts w:ascii="宋体" w:hAnsi="宋体" w:eastAsia="宋体" w:cs="宋体"/>
      <w:color w:val="533A37"/>
      <w:sz w:val="8"/>
      <w:szCs w:val="8"/>
      <w:u w:val="none"/>
    </w:rPr>
  </w:style>
  <w:style w:type="character" w:customStyle="1" w:styleId="27">
    <w:name w:val="font121"/>
    <w:basedOn w:val="12"/>
    <w:autoRedefine/>
    <w:qFormat/>
    <w:uiPriority w:val="0"/>
    <w:rPr>
      <w:rFonts w:hint="default" w:ascii="Arial" w:hAnsi="Arial" w:cs="Arial"/>
      <w:color w:val="000000"/>
      <w:sz w:val="12"/>
      <w:szCs w:val="12"/>
      <w:u w:val="none"/>
    </w:rPr>
  </w:style>
  <w:style w:type="character" w:customStyle="1" w:styleId="28">
    <w:name w:val="font131"/>
    <w:basedOn w:val="12"/>
    <w:autoRedefine/>
    <w:qFormat/>
    <w:uiPriority w:val="0"/>
    <w:rPr>
      <w:rFonts w:ascii="宋体" w:hAnsi="宋体" w:eastAsia="宋体" w:cs="宋体"/>
      <w:color w:val="000000"/>
      <w:sz w:val="12"/>
      <w:szCs w:val="12"/>
      <w:u w:val="none"/>
    </w:rPr>
  </w:style>
  <w:style w:type="character" w:customStyle="1" w:styleId="29">
    <w:name w:val="font141"/>
    <w:basedOn w:val="12"/>
    <w:autoRedefine/>
    <w:qFormat/>
    <w:uiPriority w:val="0"/>
    <w:rPr>
      <w:rFonts w:ascii="宋体" w:hAnsi="宋体" w:eastAsia="宋体" w:cs="宋体"/>
      <w:color w:val="765E36"/>
      <w:sz w:val="8"/>
      <w:szCs w:val="8"/>
      <w:u w:val="none"/>
    </w:rPr>
  </w:style>
  <w:style w:type="character" w:customStyle="1" w:styleId="30">
    <w:name w:val="font151"/>
    <w:basedOn w:val="12"/>
    <w:autoRedefine/>
    <w:qFormat/>
    <w:uiPriority w:val="0"/>
    <w:rPr>
      <w:rFonts w:hint="default" w:ascii="Times New Roman" w:hAnsi="Times New Roman" w:cs="Times New Roman"/>
      <w:b/>
      <w:bCs/>
      <w:color w:val="000000"/>
      <w:sz w:val="12"/>
      <w:szCs w:val="12"/>
      <w:u w:val="none"/>
    </w:rPr>
  </w:style>
  <w:style w:type="character" w:customStyle="1" w:styleId="31">
    <w:name w:val="font11"/>
    <w:basedOn w:val="12"/>
    <w:autoRedefine/>
    <w:qFormat/>
    <w:uiPriority w:val="0"/>
    <w:rPr>
      <w:rFonts w:hint="eastAsia" w:ascii="宋体" w:hAnsi="宋体" w:eastAsia="宋体" w:cs="宋体"/>
      <w:color w:val="000000"/>
      <w:sz w:val="20"/>
      <w:szCs w:val="20"/>
      <w:u w:val="none"/>
    </w:rPr>
  </w:style>
  <w:style w:type="character" w:customStyle="1" w:styleId="32">
    <w:name w:val="font01"/>
    <w:basedOn w:val="12"/>
    <w:autoRedefine/>
    <w:qFormat/>
    <w:uiPriority w:val="0"/>
    <w:rPr>
      <w:rFonts w:hint="default" w:ascii="Arial" w:hAnsi="Arial" w:cs="Arial"/>
      <w:color w:val="000000"/>
      <w:sz w:val="20"/>
      <w:szCs w:val="20"/>
      <w:u w:val="none"/>
    </w:rPr>
  </w:style>
  <w:style w:type="paragraph" w:customStyle="1" w:styleId="33">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customStyle="1" w:styleId="34">
    <w:name w:val="Table Text"/>
    <w:basedOn w:val="1"/>
    <w:semiHidden/>
    <w:qFormat/>
    <w:uiPriority w:val="0"/>
    <w:rPr>
      <w:rFonts w:ascii="宋体" w:hAnsi="宋体" w:eastAsia="宋体" w:cs="宋体"/>
      <w:sz w:val="24"/>
      <w:szCs w:val="24"/>
      <w:lang w:val="en-US" w:eastAsia="en-US"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1679</Words>
  <Characters>1798</Characters>
  <Lines>52</Lines>
  <Paragraphs>14</Paragraphs>
  <TotalTime>6</TotalTime>
  <ScaleCrop>false</ScaleCrop>
  <LinksUpToDate>false</LinksUpToDate>
  <CharactersWithSpaces>1807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韩美臣</cp:lastModifiedBy>
  <cp:lastPrinted>2024-12-25T04:08:00Z</cp:lastPrinted>
  <dcterms:modified xsi:type="dcterms:W3CDTF">2026-05-09T09:16:09Z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5CB63412B3EC4C5BB0245992B6A99505_13</vt:lpwstr>
  </property>
  <property fmtid="{D5CDD505-2E9C-101B-9397-08002B2CF9AE}" pid="4" name="KSOTemplateDocerSaveRecord">
    <vt:lpwstr>eyJoZGlkIjoiYWZkNjU5MzVmYjQ0YmE4MDUyZjJhM2NjZDYwNTZjMjEiLCJ1c2VySWQiOiIxNjgyMzIzMTY5In0=</vt:lpwstr>
  </property>
</Properties>
</file>