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9"/>
        <w:jc w:val="center"/>
      </w:pPr>
      <w:r>
        <w:rPr>
          <w:rFonts w:hint="eastAsia" w:ascii="宋体" w:hAnsi="宋体" w:cs="宋体"/>
          <w:b/>
          <w:bCs w:val="0"/>
          <w:sz w:val="36"/>
          <w:szCs w:val="36"/>
          <w:lang w:eastAsia="zh-CN"/>
        </w:rPr>
        <w:t>中山市古镇人民医院</w:t>
      </w:r>
      <w:r>
        <w:rPr>
          <w:rFonts w:hint="eastAsia" w:cs="宋体"/>
          <w:b/>
          <w:bCs w:val="0"/>
          <w:sz w:val="36"/>
          <w:szCs w:val="36"/>
          <w:lang w:val="en-US" w:eastAsia="zh-CN"/>
        </w:rPr>
        <w:t>儿科营养不良评估筛查工具及儿童发育筛查系统</w:t>
      </w:r>
      <w:r>
        <w:rPr>
          <w:rFonts w:hint="eastAsia" w:cs="宋体"/>
          <w:b/>
          <w:bCs w:val="0"/>
          <w:sz w:val="36"/>
          <w:szCs w:val="36"/>
          <w:lang w:eastAsia="zh-CN"/>
        </w:rPr>
        <w:t>项目</w:t>
      </w:r>
      <w:r>
        <w:rPr>
          <w:rFonts w:hint="eastAsia"/>
          <w:b/>
          <w:bCs w:val="0"/>
          <w:sz w:val="36"/>
          <w:szCs w:val="36"/>
        </w:rPr>
        <w:t>报价</w:t>
      </w:r>
      <w:r>
        <w:rPr>
          <w:b/>
          <w:bCs w:val="0"/>
          <w:sz w:val="36"/>
          <w:szCs w:val="36"/>
        </w:rPr>
        <w:t>邀请函</w:t>
      </w:r>
    </w:p>
    <w:p w14:paraId="3BE27157">
      <w:pPr>
        <w:pStyle w:val="9"/>
        <w:rPr>
          <w:rFonts w:ascii="微软雅黑" w:hAnsi="微软雅黑" w:eastAsia="微软雅黑"/>
        </w:rPr>
      </w:pPr>
      <w:r>
        <w:rPr>
          <w:rFonts w:hint="eastAsia"/>
        </w:rPr>
        <w:t>各潜在供应商：</w:t>
      </w:r>
    </w:p>
    <w:p w14:paraId="27C32B67">
      <w:pPr>
        <w:pStyle w:val="9"/>
        <w:ind w:firstLine="420" w:firstLineChars="200"/>
        <w:rPr>
          <w:rFonts w:ascii="微软雅黑" w:hAnsi="微软雅黑" w:eastAsia="微软雅黑"/>
        </w:rPr>
      </w:pPr>
      <w:r>
        <w:rPr>
          <w:rFonts w:hint="eastAsia"/>
        </w:rPr>
        <w:t>中山市古镇人民医院对</w:t>
      </w:r>
      <w:r>
        <w:rPr>
          <w:rFonts w:hint="eastAsia"/>
          <w:lang w:eastAsia="zh-CN"/>
        </w:rPr>
        <w:t>儿科营养不良评估筛查工具及儿童发育筛查系统</w:t>
      </w:r>
      <w:r>
        <w:rPr>
          <w:rFonts w:hint="eastAsia"/>
        </w:rPr>
        <w:t>项目进行采购，欢迎符合资格条件的报价人报价。</w:t>
      </w:r>
    </w:p>
    <w:p w14:paraId="6AA884F6">
      <w:pPr>
        <w:pStyle w:val="9"/>
        <w:rPr>
          <w:rFonts w:ascii="微软雅黑" w:hAnsi="微软雅黑" w:eastAsia="微软雅黑"/>
        </w:rPr>
      </w:pPr>
      <w:r>
        <w:rPr>
          <w:rFonts w:hint="eastAsia"/>
        </w:rPr>
        <w:t>一、项目名称：中山市古镇人民医院</w:t>
      </w:r>
      <w:r>
        <w:rPr>
          <w:rFonts w:hint="eastAsia"/>
          <w:lang w:eastAsia="zh-CN"/>
        </w:rPr>
        <w:t>儿科营养不良评估筛查工具及儿童发育筛查系统</w:t>
      </w:r>
      <w:r>
        <w:rPr>
          <w:rFonts w:hint="eastAsia"/>
        </w:rPr>
        <w:t>项目</w:t>
      </w:r>
    </w:p>
    <w:p w14:paraId="38E616DD">
      <w:pPr>
        <w:pStyle w:val="9"/>
        <w:rPr>
          <w:rFonts w:ascii="微软雅黑" w:hAnsi="微软雅黑" w:eastAsia="微软雅黑"/>
        </w:rPr>
      </w:pPr>
      <w:r>
        <w:rPr>
          <w:rFonts w:hint="eastAsia"/>
        </w:rPr>
        <w:t>二、采购上限价：该项目采购上限价为人民币</w:t>
      </w:r>
      <w:r>
        <w:rPr>
          <w:rFonts w:hint="eastAsia"/>
          <w:lang w:val="en-US" w:eastAsia="zh-CN"/>
        </w:rPr>
        <w:t>34000</w:t>
      </w:r>
      <w:r>
        <w:rPr>
          <w:rFonts w:hint="eastAsia"/>
        </w:rPr>
        <w:t>元（含税）。</w:t>
      </w:r>
    </w:p>
    <w:p w14:paraId="4A4BF595">
      <w:pPr>
        <w:pStyle w:val="9"/>
        <w:rPr>
          <w:rFonts w:ascii="微软雅黑" w:hAnsi="微软雅黑" w:eastAsia="微软雅黑"/>
        </w:rPr>
      </w:pPr>
      <w:r>
        <w:rPr>
          <w:rFonts w:hint="eastAsia"/>
        </w:rPr>
        <w:t>三、采购说明：</w:t>
      </w:r>
    </w:p>
    <w:p w14:paraId="65994F05">
      <w:pPr>
        <w:pStyle w:val="9"/>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9"/>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9"/>
        <w:rPr>
          <w:rFonts w:ascii="微软雅黑" w:hAnsi="微软雅黑" w:eastAsia="微软雅黑"/>
        </w:rPr>
      </w:pPr>
      <w:r>
        <w:rPr>
          <w:rFonts w:hint="eastAsia"/>
        </w:rPr>
        <w:t>（三）最终结算以按实结算为准，结算总价原则不得超出中选价，超出部分按照相关规定实施。</w:t>
      </w:r>
    </w:p>
    <w:p w14:paraId="30020355">
      <w:pPr>
        <w:pStyle w:val="9"/>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儿科营养不良评估筛查工具及儿童发育筛查系统</w:t>
      </w:r>
      <w:r>
        <w:rPr>
          <w:rFonts w:hint="eastAsia"/>
        </w:rPr>
        <w:t>项目采购，详见需求部分。</w:t>
      </w:r>
    </w:p>
    <w:p w14:paraId="0F4AB084">
      <w:pPr>
        <w:pStyle w:val="9"/>
        <w:rPr>
          <w:rFonts w:ascii="微软雅黑" w:hAnsi="微软雅黑" w:eastAsia="微软雅黑"/>
        </w:rPr>
      </w:pPr>
      <w:r>
        <w:rPr>
          <w:rFonts w:hint="eastAsia"/>
        </w:rPr>
        <w:t>五、报价人资格要求：</w:t>
      </w:r>
    </w:p>
    <w:p w14:paraId="30AED84E">
      <w:pPr>
        <w:pStyle w:val="9"/>
        <w:rPr>
          <w:rFonts w:ascii="微软雅黑" w:hAnsi="微软雅黑" w:eastAsia="微软雅黑"/>
        </w:rPr>
      </w:pPr>
      <w:r>
        <w:rPr>
          <w:rFonts w:hint="eastAsia"/>
        </w:rPr>
        <w:t>1. 必须是具有独立承担民事责任能力的在中华人民共和国境内注册的法人或其他组织。</w:t>
      </w:r>
    </w:p>
    <w:p w14:paraId="4ED92D07">
      <w:pPr>
        <w:pStyle w:val="9"/>
        <w:rPr>
          <w:rFonts w:ascii="微软雅黑" w:hAnsi="微软雅黑" w:eastAsia="微软雅黑"/>
        </w:rPr>
      </w:pPr>
      <w:r>
        <w:rPr>
          <w:rFonts w:hint="eastAsia"/>
        </w:rPr>
        <w:t>2. 具备《中华人民共和国政府采购法》第二十二条资格条件。</w:t>
      </w:r>
    </w:p>
    <w:p w14:paraId="5F6E0AB5">
      <w:pPr>
        <w:pStyle w:val="9"/>
        <w:rPr>
          <w:rFonts w:ascii="微软雅黑" w:hAnsi="微软雅黑" w:eastAsia="微软雅黑"/>
        </w:rPr>
      </w:pPr>
      <w:r>
        <w:rPr>
          <w:rFonts w:hint="eastAsia"/>
        </w:rPr>
        <w:t>3. 不同的供应商之间有下列情形之一的，不接受作为参与同一采购项目竞争的供应商。</w:t>
      </w:r>
    </w:p>
    <w:p w14:paraId="48438BC5">
      <w:pPr>
        <w:pStyle w:val="9"/>
        <w:rPr>
          <w:rFonts w:ascii="微软雅黑" w:hAnsi="微软雅黑" w:eastAsia="微软雅黑"/>
        </w:rPr>
      </w:pPr>
      <w:r>
        <w:rPr>
          <w:rFonts w:hint="eastAsia"/>
        </w:rPr>
        <w:t>3.1 法定代表人或供应商负责人为同一人或者存在直接控股、管理关系的供应商。</w:t>
      </w:r>
    </w:p>
    <w:p w14:paraId="6C9DD809">
      <w:pPr>
        <w:pStyle w:val="9"/>
        <w:rPr>
          <w:rFonts w:ascii="微软雅黑" w:hAnsi="微软雅黑" w:eastAsia="微软雅黑"/>
        </w:rPr>
      </w:pPr>
      <w:r>
        <w:rPr>
          <w:rFonts w:hint="eastAsia"/>
        </w:rPr>
        <w:t>3.2 为采购项目提供整体设计、规范编制或者项目管理、监理、检测等服务的供应商。</w:t>
      </w:r>
    </w:p>
    <w:p w14:paraId="433DBE10">
      <w:pPr>
        <w:pStyle w:val="9"/>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9"/>
        <w:rPr>
          <w:rFonts w:ascii="微软雅黑" w:hAnsi="微软雅黑" w:eastAsia="微软雅黑"/>
        </w:rPr>
      </w:pPr>
      <w:r>
        <w:rPr>
          <w:rFonts w:hint="eastAsia"/>
        </w:rPr>
        <w:t>4.供应商须无围标、串标行为，</w:t>
      </w:r>
      <w:r>
        <w:rPr>
          <w:rStyle w:val="13"/>
          <w:rFonts w:hint="eastAsia"/>
          <w:color w:val="000000"/>
        </w:rPr>
        <w:t>投标文件提供《无围标串通等违法违规行为承诺书》（承诺书格式自行编制）和提供《廉洁承诺书》(承诺书格式自行编制)。</w:t>
      </w:r>
    </w:p>
    <w:p w14:paraId="6C416BF1">
      <w:pPr>
        <w:pStyle w:val="9"/>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9"/>
        <w:rPr>
          <w:rFonts w:ascii="微软雅黑" w:hAnsi="微软雅黑" w:eastAsia="微软雅黑"/>
        </w:rPr>
      </w:pPr>
      <w:r>
        <w:rPr>
          <w:rStyle w:val="13"/>
          <w:rFonts w:hint="eastAsia"/>
        </w:rPr>
        <w:t>六、报名时间和方式。</w:t>
      </w:r>
      <w:r>
        <w:rPr>
          <w:rFonts w:hint="eastAsia"/>
        </w:rPr>
        <w:t>（本次询价均使用北京时间，24小时制）</w:t>
      </w:r>
    </w:p>
    <w:p w14:paraId="35C6A393">
      <w:pPr>
        <w:pStyle w:val="9"/>
        <w:rPr>
          <w:rFonts w:hint="eastAsia"/>
        </w:rPr>
      </w:pPr>
      <w:r>
        <w:rPr>
          <w:rStyle w:val="13"/>
          <w:rFonts w:hint="eastAsia"/>
        </w:rPr>
        <w:t>报名时间</w:t>
      </w:r>
      <w:r>
        <w:rPr>
          <w:rFonts w:hint="eastAsia"/>
        </w:rPr>
        <w:t>：</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25</w:t>
      </w:r>
      <w:r>
        <w:rPr>
          <w:rFonts w:hint="eastAsia"/>
          <w:color w:val="auto"/>
        </w:rPr>
        <w:t>日至202</w:t>
      </w:r>
      <w:r>
        <w:rPr>
          <w:rFonts w:hint="eastAsia"/>
          <w:color w:val="auto"/>
          <w:lang w:val="en-US" w:eastAsia="zh-CN"/>
        </w:rPr>
        <w:t>6</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3</w:t>
      </w:r>
      <w:r>
        <w:rPr>
          <w:rFonts w:hint="eastAsia"/>
        </w:rPr>
        <w:t>日(上午8:30-12:00，下午14:</w:t>
      </w:r>
      <w:r>
        <w:rPr>
          <w:rFonts w:hint="eastAsia"/>
          <w:lang w:val="en-US" w:eastAsia="zh-CN"/>
        </w:rPr>
        <w:t>0</w:t>
      </w:r>
      <w:r>
        <w:rPr>
          <w:rFonts w:hint="eastAsia"/>
        </w:rPr>
        <w:t>0-17:</w:t>
      </w:r>
      <w:r>
        <w:rPr>
          <w:rFonts w:hint="eastAsia"/>
          <w:lang w:val="en-US" w:eastAsia="zh-CN"/>
        </w:rPr>
        <w:t>0</w:t>
      </w:r>
      <w:r>
        <w:rPr>
          <w:rFonts w:hint="eastAsia"/>
        </w:rPr>
        <w:t>0分，节假日除外）</w:t>
      </w:r>
    </w:p>
    <w:p w14:paraId="5F6EECE4">
      <w:pPr>
        <w:pStyle w:val="9"/>
        <w:rPr>
          <w:rFonts w:hint="default" w:ascii="微软雅黑" w:hAnsi="微软雅黑" w:eastAsia="宋体"/>
          <w:lang w:val="en-US" w:eastAsia="zh-CN"/>
        </w:rPr>
      </w:pPr>
      <w:r>
        <w:rPr>
          <w:rStyle w:val="13"/>
          <w:rFonts w:hint="eastAsia"/>
        </w:rPr>
        <w:t>报名地点：</w:t>
      </w:r>
      <w:r>
        <w:rPr>
          <w:rFonts w:hint="eastAsia"/>
        </w:rPr>
        <w:t>中山市古镇人民医院</w:t>
      </w:r>
      <w:r>
        <w:rPr>
          <w:rFonts w:hint="eastAsia"/>
          <w:lang w:val="en-US" w:eastAsia="zh-CN"/>
        </w:rPr>
        <w:t>医技楼二楼信息科</w:t>
      </w:r>
    </w:p>
    <w:p w14:paraId="1F4AF3DD">
      <w:pPr>
        <w:pStyle w:val="9"/>
        <w:rPr>
          <w:rFonts w:ascii="微软雅黑" w:hAnsi="微软雅黑" w:eastAsia="微软雅黑"/>
        </w:rPr>
      </w:pPr>
      <w:r>
        <w:rPr>
          <w:rStyle w:val="13"/>
          <w:rFonts w:hint="eastAsia"/>
        </w:rPr>
        <w:t>报名方式：报价供应商现场、快递、邮寄等方式报名及提交以下资料（报价文件与报名可同一时间，快递、邮寄方式必须投递到</w:t>
      </w:r>
      <w:r>
        <w:rPr>
          <w:rFonts w:hint="eastAsia"/>
          <w:b/>
          <w:lang w:val="en-US" w:eastAsia="zh-CN"/>
        </w:rPr>
        <w:t>古镇人民医院10号楼</w:t>
      </w:r>
      <w:r>
        <w:rPr>
          <w:b/>
        </w:rPr>
        <w:t>，</w:t>
      </w:r>
      <w:r>
        <w:rPr>
          <w:rFonts w:hint="eastAsia"/>
          <w:b/>
          <w:lang w:val="en-US" w:eastAsia="zh-CN"/>
        </w:rPr>
        <w:t>信息科</w:t>
      </w:r>
      <w:r>
        <w:rPr>
          <w:rStyle w:val="13"/>
          <w:rFonts w:hint="eastAsia"/>
        </w:rPr>
        <w:t>，以签收时间为准。），不接受电话报名及提交资料。</w:t>
      </w:r>
    </w:p>
    <w:p w14:paraId="0048A7C3">
      <w:pPr>
        <w:pStyle w:val="9"/>
        <w:rPr>
          <w:rFonts w:ascii="微软雅黑" w:hAnsi="微软雅黑" w:eastAsia="微软雅黑"/>
        </w:rPr>
      </w:pPr>
      <w:r>
        <w:rPr>
          <w:rStyle w:val="13"/>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9"/>
        <w:rPr>
          <w:rFonts w:ascii="微软雅黑" w:hAnsi="微软雅黑" w:eastAsia="微软雅黑"/>
        </w:rPr>
      </w:pPr>
      <w:r>
        <w:rPr>
          <w:rFonts w:hint="eastAsia"/>
        </w:rPr>
        <w:t>七、本询价文件规定的时间（本次询价均使用北京时间，24小时制）。</w:t>
      </w:r>
    </w:p>
    <w:p w14:paraId="32A5DC97">
      <w:pPr>
        <w:pStyle w:val="9"/>
        <w:rPr>
          <w:rFonts w:ascii="微软雅黑" w:hAnsi="微软雅黑" w:eastAsia="微软雅黑"/>
        </w:rPr>
      </w:pPr>
      <w:r>
        <w:rPr>
          <w:rFonts w:hint="eastAsia"/>
        </w:rPr>
        <w:t>八、</w:t>
      </w:r>
      <w:r>
        <w:rPr>
          <w:rStyle w:val="13"/>
          <w:rFonts w:hint="eastAsia"/>
        </w:rPr>
        <w:t>递交报价文件截止时间</w:t>
      </w:r>
      <w:r>
        <w:rPr>
          <w:rFonts w:hint="eastAsia"/>
        </w:rPr>
        <w:t>：</w:t>
      </w:r>
      <w:r>
        <w:rPr>
          <w:rStyle w:val="13"/>
          <w:rFonts w:hint="eastAsia"/>
          <w:color w:val="auto"/>
        </w:rPr>
        <w:t>202</w:t>
      </w:r>
      <w:r>
        <w:rPr>
          <w:rStyle w:val="13"/>
          <w:rFonts w:hint="eastAsia"/>
          <w:color w:val="auto"/>
          <w:lang w:val="en-US" w:eastAsia="zh-CN"/>
        </w:rPr>
        <w:t>6</w:t>
      </w:r>
      <w:r>
        <w:rPr>
          <w:rStyle w:val="13"/>
          <w:rFonts w:hint="eastAsia"/>
          <w:color w:val="auto"/>
        </w:rPr>
        <w:t>年</w:t>
      </w:r>
      <w:r>
        <w:rPr>
          <w:rStyle w:val="13"/>
          <w:rFonts w:hint="eastAsia"/>
          <w:color w:val="auto"/>
          <w:lang w:val="en-US" w:eastAsia="zh-CN"/>
        </w:rPr>
        <w:t>4</w:t>
      </w:r>
      <w:r>
        <w:rPr>
          <w:rStyle w:val="13"/>
          <w:rFonts w:hint="eastAsia"/>
          <w:color w:val="auto"/>
        </w:rPr>
        <w:t>月</w:t>
      </w:r>
      <w:r>
        <w:rPr>
          <w:rStyle w:val="13"/>
          <w:rFonts w:hint="eastAsia"/>
          <w:color w:val="auto"/>
          <w:lang w:val="en-US" w:eastAsia="zh-CN"/>
        </w:rPr>
        <w:t>3</w:t>
      </w:r>
      <w:r>
        <w:rPr>
          <w:rStyle w:val="13"/>
          <w:rFonts w:hint="eastAsia"/>
          <w:color w:val="auto"/>
        </w:rPr>
        <w:t>日上午12:00时（北京时间）</w:t>
      </w:r>
      <w:r>
        <w:rPr>
          <w:rStyle w:val="13"/>
          <w:rFonts w:hint="eastAsia"/>
        </w:rPr>
        <w:t>。</w:t>
      </w:r>
    </w:p>
    <w:p w14:paraId="7F2FBC4B">
      <w:pPr>
        <w:pStyle w:val="9"/>
        <w:rPr>
          <w:rFonts w:ascii="微软雅黑" w:hAnsi="微软雅黑" w:eastAsia="微软雅黑"/>
        </w:rPr>
      </w:pPr>
      <w:r>
        <w:rPr>
          <w:rFonts w:hint="eastAsia"/>
        </w:rPr>
        <w:t>九、询价评选时间：202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3</w:t>
      </w:r>
      <w:r>
        <w:rPr>
          <w:rFonts w:hint="eastAsia"/>
        </w:rPr>
        <w:t>日下午15:00（北京时间）。</w:t>
      </w:r>
    </w:p>
    <w:p w14:paraId="06EDE9CD">
      <w:pPr>
        <w:pStyle w:val="9"/>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古镇镇华博路199号</w:t>
      </w:r>
      <w:r>
        <w:t>，</w:t>
      </w:r>
      <w:r>
        <w:rPr>
          <w:rFonts w:hint="eastAsia"/>
          <w:lang w:val="en-US" w:eastAsia="zh-CN"/>
        </w:rPr>
        <w:t>信息科</w:t>
      </w:r>
    </w:p>
    <w:p w14:paraId="5AA5808E">
      <w:pPr>
        <w:pStyle w:val="9"/>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9"/>
        <w:rPr>
          <w:rFonts w:ascii="微软雅黑" w:hAnsi="微软雅黑" w:eastAsia="微软雅黑"/>
        </w:rPr>
      </w:pPr>
      <w:r>
        <w:rPr>
          <w:rFonts w:hint="eastAsia"/>
        </w:rPr>
        <w:t>十二、采购人联系方式</w:t>
      </w:r>
    </w:p>
    <w:p w14:paraId="0E72699A">
      <w:pPr>
        <w:pStyle w:val="9"/>
        <w:rPr>
          <w:rFonts w:ascii="微软雅黑" w:hAnsi="微软雅黑" w:eastAsia="微软雅黑"/>
        </w:rPr>
      </w:pPr>
      <w:r>
        <w:rPr>
          <w:rFonts w:hint="eastAsia"/>
        </w:rPr>
        <w:t>地址:中山市</w:t>
      </w:r>
      <w:r>
        <w:rPr>
          <w:rFonts w:hint="eastAsia"/>
          <w:lang w:val="en-US" w:eastAsia="zh-CN"/>
        </w:rPr>
        <w:t>古镇镇华博路199号</w:t>
      </w:r>
      <w:r>
        <w:rPr>
          <w:rFonts w:hint="eastAsia"/>
        </w:rPr>
        <w:t>中山市古镇人民医院</w:t>
      </w:r>
      <w:r>
        <w:rPr>
          <w:rFonts w:hint="eastAsia"/>
          <w:lang w:val="en-US" w:eastAsia="zh-CN"/>
        </w:rPr>
        <w:t>医技楼二楼信息科</w:t>
      </w:r>
    </w:p>
    <w:p w14:paraId="6FAEF14F">
      <w:pPr>
        <w:pStyle w:val="9"/>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9"/>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9"/>
        <w:rPr>
          <w:rFonts w:ascii="微软雅黑" w:hAnsi="微软雅黑" w:eastAsia="微软雅黑"/>
        </w:rPr>
      </w:pPr>
      <w:r>
        <w:rPr>
          <w:rFonts w:hint="eastAsia"/>
        </w:rPr>
        <w:t>十三、监督部门：古镇人民医院监察室</w:t>
      </w:r>
    </w:p>
    <w:p w14:paraId="6179EE53">
      <w:pPr>
        <w:pStyle w:val="9"/>
        <w:rPr>
          <w:rFonts w:hint="eastAsia"/>
        </w:rPr>
      </w:pPr>
      <w:r>
        <w:rPr>
          <w:rFonts w:hint="eastAsia"/>
        </w:rPr>
        <w:t>联系电话：0760-22329962</w:t>
      </w:r>
    </w:p>
    <w:p w14:paraId="17CF7480">
      <w:pPr>
        <w:pStyle w:val="9"/>
        <w:rPr>
          <w:rFonts w:hint="eastAsia"/>
        </w:rPr>
      </w:pPr>
    </w:p>
    <w:p w14:paraId="2D2C33B9">
      <w:pPr>
        <w:pStyle w:val="9"/>
        <w:rPr>
          <w:rFonts w:ascii="黑体" w:hAnsi="黑体" w:eastAsia="黑体" w:cs="黑体"/>
          <w:sz w:val="44"/>
          <w:szCs w:val="44"/>
        </w:rPr>
      </w:pPr>
      <w:r>
        <w:rPr>
          <w:rStyle w:val="13"/>
          <w:rFonts w:hint="eastAsia"/>
          <w:sz w:val="28"/>
          <w:szCs w:val="28"/>
        </w:rPr>
        <w:t>用户需求</w:t>
      </w:r>
    </w:p>
    <w:p w14:paraId="0A40A9ED">
      <w:pPr>
        <w:numPr>
          <w:ilvl w:val="0"/>
          <w:numId w:val="0"/>
        </w:numPr>
        <w:spacing w:line="360" w:lineRule="auto"/>
        <w:jc w:val="both"/>
        <w:rPr>
          <w:rFonts w:hint="eastAsia" w:asciiTheme="minorEastAsia" w:hAnsiTheme="minorEastAsia" w:cstheme="minorEastAsia"/>
          <w:b/>
          <w:kern w:val="2"/>
          <w:sz w:val="21"/>
          <w:szCs w:val="21"/>
          <w:lang w:val="en-US" w:eastAsia="zh-CN" w:bidi="ar-SA"/>
        </w:rPr>
      </w:pPr>
      <w:r>
        <w:rPr>
          <w:rFonts w:hint="eastAsia" w:asciiTheme="minorEastAsia" w:hAnsiTheme="minorEastAsia" w:cstheme="minorEastAsia"/>
          <w:b/>
          <w:kern w:val="2"/>
          <w:sz w:val="21"/>
          <w:szCs w:val="21"/>
          <w:lang w:val="en-US" w:eastAsia="zh-CN" w:bidi="ar-SA"/>
        </w:rPr>
        <w:t>一、儿科营养不良评估筛查工具参数</w:t>
      </w:r>
    </w:p>
    <w:p w14:paraId="106590FD">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、用途 ：</w:t>
      </w:r>
    </w:p>
    <w:p w14:paraId="295CAC27">
      <w:pPr>
        <w:ind w:firstLine="420" w:firstLineChars="200"/>
        <w:rPr>
          <w:rFonts w:hint="eastAsia" w:ascii="宋体" w:hAnsi="宋体" w:eastAsia="宋体" w:cs="宋体"/>
          <w:sz w:val="21"/>
          <w:szCs w:val="21"/>
        </w:rPr>
      </w:pPr>
      <w:r>
        <w:rPr>
          <w:rFonts w:hint="eastAsia" w:ascii="宋体" w:hAnsi="宋体" w:eastAsia="宋体" w:cs="宋体"/>
          <w:sz w:val="21"/>
          <w:szCs w:val="21"/>
        </w:rPr>
        <w:t>儿科营养不良评估筛查工具是针对2周至18岁进行营养风险评价，在临床医师诊治病人的同时能及时做出营养风险评估，尽早识别存在高营养风险的住院患儿，以便在临床诊疗过程中，及时给予营养干预 ，改善患儿临床预后，促进患儿康复。</w:t>
      </w:r>
    </w:p>
    <w:p w14:paraId="0C7960DF">
      <w:pPr>
        <w:jc w:val="center"/>
        <w:rPr>
          <w:rFonts w:hint="eastAsia" w:ascii="宋体" w:hAnsi="宋体" w:eastAsia="宋体" w:cs="宋体"/>
          <w:sz w:val="21"/>
          <w:szCs w:val="21"/>
        </w:rPr>
      </w:pPr>
    </w:p>
    <w:p w14:paraId="1221757C">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、主要参数：</w:t>
      </w:r>
    </w:p>
    <w:p w14:paraId="44B96F0C">
      <w:pPr>
        <w:rPr>
          <w:rFonts w:hint="eastAsia" w:ascii="宋体" w:hAnsi="宋体" w:eastAsia="宋体" w:cs="宋体"/>
          <w:sz w:val="21"/>
          <w:szCs w:val="21"/>
        </w:rPr>
      </w:pPr>
      <w:r>
        <w:rPr>
          <w:rFonts w:hint="eastAsia" w:ascii="宋体" w:hAnsi="宋体" w:eastAsia="宋体" w:cs="宋体"/>
          <w:sz w:val="21"/>
          <w:szCs w:val="21"/>
        </w:rPr>
        <w:t>（1） 评分法是依据患儿疾病诊断、患病前后饮食摄入情况、体格生长情况三部分进行评分。首先，结合患儿疾病情况评估是否存在营养风险。再通过问卷调查，记录患儿患病前后饮食摄入变化情况，然后测量入院时患儿的体质量及身高或身长，随后参照WHO的标准，采用Z值评分法。</w:t>
      </w:r>
    </w:p>
    <w:p w14:paraId="46D6F4BF">
      <w:pPr>
        <w:rPr>
          <w:rFonts w:hint="eastAsia" w:ascii="宋体" w:hAnsi="宋体" w:eastAsia="宋体" w:cs="宋体"/>
          <w:sz w:val="21"/>
          <w:szCs w:val="21"/>
        </w:rPr>
      </w:pPr>
      <w:r>
        <w:rPr>
          <w:rFonts w:hint="eastAsia" w:ascii="宋体" w:hAnsi="宋体" w:eastAsia="宋体" w:cs="宋体"/>
          <w:sz w:val="21"/>
          <w:szCs w:val="21"/>
        </w:rPr>
        <w:t>（2）适用年龄：2周-18岁（不含18岁）的儿童。</w:t>
      </w:r>
    </w:p>
    <w:p w14:paraId="2FE4D76C">
      <w:pPr>
        <w:rPr>
          <w:rFonts w:hint="eastAsia" w:ascii="宋体" w:hAnsi="宋体" w:eastAsia="宋体" w:cs="宋体"/>
          <w:sz w:val="21"/>
          <w:szCs w:val="21"/>
        </w:rPr>
      </w:pPr>
      <w:r>
        <w:rPr>
          <w:rFonts w:hint="eastAsia" w:ascii="宋体" w:hAnsi="宋体" w:eastAsia="宋体" w:cs="宋体"/>
          <w:sz w:val="21"/>
          <w:szCs w:val="21"/>
        </w:rPr>
        <w:t>（3）方法有72%的敏感性和90%的特异性，与全面营养评估之间有较好的一致性。</w:t>
      </w:r>
    </w:p>
    <w:p w14:paraId="1763F051">
      <w:pPr>
        <w:rPr>
          <w:rFonts w:hint="eastAsia" w:ascii="宋体" w:hAnsi="宋体" w:eastAsia="宋体" w:cs="宋体"/>
          <w:sz w:val="21"/>
          <w:szCs w:val="21"/>
        </w:rPr>
      </w:pPr>
      <w:r>
        <w:rPr>
          <w:rFonts w:hint="eastAsia" w:ascii="宋体" w:hAnsi="宋体" w:eastAsia="宋体" w:cs="宋体"/>
          <w:sz w:val="21"/>
          <w:szCs w:val="21"/>
        </w:rPr>
        <w:t>（4）和全面营养评估所得的结果有很好的一致性，以全面营养评价作为“金标准”，评估法的敏感性75.0%~83.3%，特异性60.8%~66.7%，敏感性高，提示其检出存在营养风险的能力高。</w:t>
      </w:r>
    </w:p>
    <w:p w14:paraId="77A8CBC6">
      <w:pPr>
        <w:rPr>
          <w:rFonts w:hint="eastAsia" w:ascii="宋体" w:hAnsi="宋体" w:eastAsia="宋体" w:cs="宋体"/>
          <w:sz w:val="21"/>
          <w:szCs w:val="21"/>
        </w:rPr>
      </w:pPr>
      <w:r>
        <w:rPr>
          <w:rFonts w:hint="eastAsia" w:ascii="宋体" w:hAnsi="宋体" w:eastAsia="宋体" w:cs="宋体"/>
          <w:sz w:val="21"/>
          <w:szCs w:val="21"/>
        </w:rPr>
        <w:t>（5）特异性好，提示其排除不存在营养风险的能力也高，实用性好。</w:t>
      </w:r>
    </w:p>
    <w:p w14:paraId="24316468">
      <w:pPr>
        <w:rPr>
          <w:rFonts w:hint="eastAsia" w:ascii="宋体" w:hAnsi="宋体" w:eastAsia="宋体" w:cs="宋体"/>
          <w:sz w:val="21"/>
          <w:szCs w:val="21"/>
        </w:rPr>
      </w:pPr>
      <w:r>
        <w:rPr>
          <w:rFonts w:hint="eastAsia" w:ascii="宋体" w:hAnsi="宋体" w:eastAsia="宋体" w:cs="宋体"/>
          <w:sz w:val="21"/>
          <w:szCs w:val="21"/>
        </w:rPr>
        <w:t>（6） 评分法能比较客观地反映患儿营养风险情况；通过营养风险管理可以改善其营养状况。</w:t>
      </w:r>
    </w:p>
    <w:p w14:paraId="1DFF8F24">
      <w:pPr>
        <w:rPr>
          <w:rFonts w:hint="eastAsia" w:ascii="宋体" w:hAnsi="宋体" w:eastAsia="宋体" w:cs="宋体"/>
          <w:sz w:val="21"/>
          <w:szCs w:val="21"/>
        </w:rPr>
      </w:pPr>
      <w:r>
        <w:rPr>
          <w:rFonts w:hint="eastAsia" w:ascii="宋体" w:hAnsi="宋体" w:eastAsia="宋体" w:cs="宋体"/>
          <w:sz w:val="21"/>
          <w:szCs w:val="21"/>
        </w:rPr>
        <w:t>（7）全国联网查询</w:t>
      </w:r>
    </w:p>
    <w:p w14:paraId="76B1EDF7">
      <w:pPr>
        <w:rPr>
          <w:rFonts w:hint="eastAsia" w:ascii="宋体" w:hAnsi="宋体" w:eastAsia="宋体" w:cs="宋体"/>
          <w:sz w:val="21"/>
          <w:szCs w:val="21"/>
        </w:rPr>
      </w:pPr>
      <w:r>
        <w:rPr>
          <w:rFonts w:hint="eastAsia" w:ascii="宋体" w:hAnsi="宋体" w:eastAsia="宋体" w:cs="宋体"/>
          <w:sz w:val="21"/>
          <w:szCs w:val="21"/>
        </w:rPr>
        <w:t>对于家长——可实现全国联网查询儿童档案，解决由于就诊医院、地域不同等因素而造成的不便；</w:t>
      </w:r>
    </w:p>
    <w:p w14:paraId="7854047A">
      <w:pPr>
        <w:rPr>
          <w:rFonts w:hint="eastAsia" w:ascii="宋体" w:hAnsi="宋体" w:eastAsia="宋体" w:cs="宋体"/>
          <w:sz w:val="21"/>
          <w:szCs w:val="21"/>
        </w:rPr>
      </w:pPr>
      <w:r>
        <w:rPr>
          <w:rFonts w:hint="eastAsia" w:ascii="宋体" w:hAnsi="宋体" w:eastAsia="宋体" w:cs="宋体"/>
          <w:sz w:val="21"/>
          <w:szCs w:val="21"/>
        </w:rPr>
        <w:t>对于医生——可实现培训证书与个人绑定，终身有效；可实现对儿童过往筛查记录的查询，进行持续追踪检测，了解儿童发育进程。</w:t>
      </w:r>
    </w:p>
    <w:p w14:paraId="5A522CB6">
      <w:pPr>
        <w:rPr>
          <w:rFonts w:hint="eastAsia" w:ascii="宋体" w:hAnsi="宋体" w:eastAsia="宋体" w:cs="宋体"/>
          <w:sz w:val="21"/>
          <w:szCs w:val="21"/>
        </w:rPr>
      </w:pPr>
      <w:r>
        <w:rPr>
          <w:rFonts w:hint="eastAsia" w:ascii="宋体" w:hAnsi="宋体" w:eastAsia="宋体" w:cs="宋体"/>
          <w:sz w:val="21"/>
          <w:szCs w:val="21"/>
        </w:rPr>
        <w:t>（8）可靠、有效、准确</w:t>
      </w:r>
    </w:p>
    <w:p w14:paraId="08697C90">
      <w:pPr>
        <w:rPr>
          <w:rFonts w:hint="eastAsia" w:ascii="宋体" w:hAnsi="宋体" w:eastAsia="宋体" w:cs="宋体"/>
          <w:sz w:val="21"/>
          <w:szCs w:val="21"/>
        </w:rPr>
      </w:pPr>
      <w:r>
        <w:rPr>
          <w:rFonts w:hint="eastAsia" w:ascii="宋体" w:hAnsi="宋体" w:eastAsia="宋体" w:cs="宋体"/>
          <w:sz w:val="21"/>
          <w:szCs w:val="21"/>
        </w:rPr>
        <w:t>所有计算过程经由计算机控制，保证信度与效度，减少人工误差，易于操作，报告生成速度快。</w:t>
      </w:r>
    </w:p>
    <w:p w14:paraId="7ADD163F">
      <w:pPr>
        <w:rPr>
          <w:rFonts w:hint="eastAsia" w:ascii="宋体" w:hAnsi="宋体" w:eastAsia="宋体" w:cs="宋体"/>
          <w:sz w:val="21"/>
          <w:szCs w:val="21"/>
        </w:rPr>
      </w:pPr>
      <w:r>
        <w:rPr>
          <w:rFonts w:hint="eastAsia" w:ascii="宋体" w:hAnsi="宋体" w:eastAsia="宋体" w:cs="宋体"/>
          <w:sz w:val="21"/>
          <w:szCs w:val="21"/>
        </w:rPr>
        <w:t>（9）适配版接口</w:t>
      </w:r>
    </w:p>
    <w:p w14:paraId="75040716">
      <w:pPr>
        <w:rPr>
          <w:rFonts w:hint="eastAsia" w:ascii="宋体" w:hAnsi="宋体" w:eastAsia="宋体" w:cs="宋体"/>
          <w:sz w:val="21"/>
          <w:szCs w:val="21"/>
        </w:rPr>
      </w:pPr>
      <w:r>
        <w:rPr>
          <w:rFonts w:hint="eastAsia" w:ascii="宋体" w:hAnsi="宋体" w:eastAsia="宋体" w:cs="宋体"/>
          <w:sz w:val="21"/>
          <w:szCs w:val="21"/>
        </w:rPr>
        <w:t>多元化接口方案，覆盖移动互联网接入方式，兼容主流移动设备。</w:t>
      </w:r>
    </w:p>
    <w:p w14:paraId="2B81FBBF">
      <w:pPr>
        <w:numPr>
          <w:ilvl w:val="0"/>
          <w:numId w:val="2"/>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包含内容清单明细如下：</w:t>
      </w:r>
    </w:p>
    <w:tbl>
      <w:tblPr>
        <w:tblW w:w="7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89"/>
        <w:gridCol w:w="3521"/>
        <w:gridCol w:w="1080"/>
        <w:gridCol w:w="1080"/>
      </w:tblGrid>
      <w:tr w14:paraId="7CB7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9" w:type="dxa"/>
            <w:vMerge w:val="restart"/>
            <w:tcBorders>
              <w:top w:val="single" w:color="000000" w:sz="8" w:space="0"/>
              <w:left w:val="single" w:color="000000" w:sz="8" w:space="0"/>
              <w:bottom w:val="single" w:color="000000" w:sz="8" w:space="0"/>
              <w:right w:val="single" w:color="000000" w:sz="8" w:space="0"/>
            </w:tcBorders>
            <w:shd w:val="clear"/>
            <w:vAlign w:val="center"/>
          </w:tcPr>
          <w:p w14:paraId="72273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3521" w:type="dxa"/>
            <w:vMerge w:val="restart"/>
            <w:tcBorders>
              <w:top w:val="single" w:color="000000" w:sz="8" w:space="0"/>
              <w:left w:val="single" w:color="000000" w:sz="8" w:space="0"/>
              <w:bottom w:val="single" w:color="000000" w:sz="8" w:space="0"/>
              <w:right w:val="single" w:color="000000" w:sz="8" w:space="0"/>
            </w:tcBorders>
            <w:shd w:val="clear"/>
            <w:vAlign w:val="center"/>
          </w:tcPr>
          <w:p w14:paraId="23018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品名</w:t>
            </w:r>
          </w:p>
        </w:tc>
        <w:tc>
          <w:tcPr>
            <w:tcW w:w="1080" w:type="dxa"/>
            <w:vMerge w:val="restart"/>
            <w:tcBorders>
              <w:top w:val="single" w:color="000000" w:sz="8" w:space="0"/>
              <w:left w:val="single" w:color="000000" w:sz="8" w:space="0"/>
              <w:bottom w:val="single" w:color="000000" w:sz="8" w:space="0"/>
              <w:right w:val="single" w:color="000000" w:sz="8" w:space="0"/>
            </w:tcBorders>
            <w:shd w:val="clear"/>
            <w:vAlign w:val="center"/>
          </w:tcPr>
          <w:p w14:paraId="41D47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规格型号</w:t>
            </w:r>
          </w:p>
        </w:tc>
        <w:tc>
          <w:tcPr>
            <w:tcW w:w="1080" w:type="dxa"/>
            <w:tcBorders>
              <w:top w:val="single" w:color="000000" w:sz="8" w:space="0"/>
              <w:left w:val="single" w:color="000000" w:sz="8" w:space="0"/>
              <w:bottom w:val="nil"/>
              <w:right w:val="single" w:color="000000" w:sz="8" w:space="0"/>
            </w:tcBorders>
            <w:shd w:val="clear"/>
            <w:vAlign w:val="center"/>
          </w:tcPr>
          <w:p w14:paraId="73DBF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r>
      <w:tr w14:paraId="048B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DAA0B38">
            <w:pPr>
              <w:jc w:val="center"/>
              <w:rPr>
                <w:rFonts w:hint="eastAsia" w:ascii="宋体" w:hAnsi="宋体" w:eastAsia="宋体" w:cs="宋体"/>
                <w:i w:val="0"/>
                <w:iCs w:val="0"/>
                <w:color w:val="000000"/>
                <w:sz w:val="24"/>
                <w:szCs w:val="24"/>
                <w:u w:val="none"/>
              </w:rPr>
            </w:pPr>
          </w:p>
        </w:tc>
        <w:tc>
          <w:tcPr>
            <w:tcW w:w="3521" w:type="dxa"/>
            <w:vMerge w:val="continue"/>
            <w:tcBorders>
              <w:top w:val="single" w:color="000000" w:sz="8" w:space="0"/>
              <w:left w:val="single" w:color="000000" w:sz="8" w:space="0"/>
              <w:bottom w:val="single" w:color="000000" w:sz="8" w:space="0"/>
              <w:right w:val="single" w:color="000000" w:sz="8" w:space="0"/>
            </w:tcBorders>
            <w:shd w:val="clear"/>
            <w:vAlign w:val="center"/>
          </w:tcPr>
          <w:p w14:paraId="48EF342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1378B35">
            <w:pPr>
              <w:jc w:val="center"/>
              <w:rPr>
                <w:rFonts w:hint="eastAsia" w:ascii="宋体" w:hAnsi="宋体" w:eastAsia="宋体" w:cs="宋体"/>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vAlign w:val="center"/>
          </w:tcPr>
          <w:p w14:paraId="45921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r>
      <w:tr w14:paraId="091B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789" w:type="dxa"/>
            <w:tcBorders>
              <w:top w:val="nil"/>
              <w:left w:val="single" w:color="000000" w:sz="8" w:space="0"/>
              <w:bottom w:val="single" w:color="000000" w:sz="8" w:space="0"/>
              <w:right w:val="single" w:color="000000" w:sz="8" w:space="0"/>
            </w:tcBorders>
            <w:shd w:val="clear"/>
            <w:vAlign w:val="center"/>
          </w:tcPr>
          <w:p w14:paraId="52EE9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521" w:type="dxa"/>
            <w:tcBorders>
              <w:top w:val="nil"/>
              <w:left w:val="single" w:color="000000" w:sz="8" w:space="0"/>
              <w:bottom w:val="single" w:color="000000" w:sz="8" w:space="0"/>
              <w:right w:val="single" w:color="000000" w:sz="8" w:space="0"/>
            </w:tcBorders>
            <w:shd w:val="clear"/>
            <w:vAlign w:val="center"/>
          </w:tcPr>
          <w:p w14:paraId="73DE7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STAMP筛查量表</w:t>
            </w:r>
          </w:p>
        </w:tc>
        <w:tc>
          <w:tcPr>
            <w:tcW w:w="1080" w:type="dxa"/>
            <w:tcBorders>
              <w:top w:val="nil"/>
              <w:left w:val="single" w:color="000000" w:sz="8" w:space="0"/>
              <w:bottom w:val="single" w:color="000000" w:sz="8" w:space="0"/>
              <w:right w:val="single" w:color="000000" w:sz="8" w:space="0"/>
            </w:tcBorders>
            <w:shd w:val="clear"/>
            <w:vAlign w:val="center"/>
          </w:tcPr>
          <w:p w14:paraId="32DDA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份</w:t>
            </w:r>
          </w:p>
        </w:tc>
        <w:tc>
          <w:tcPr>
            <w:tcW w:w="1080" w:type="dxa"/>
            <w:tcBorders>
              <w:top w:val="nil"/>
              <w:left w:val="single" w:color="000000" w:sz="8" w:space="0"/>
              <w:bottom w:val="single" w:color="000000" w:sz="8" w:space="0"/>
              <w:right w:val="single" w:color="000000" w:sz="8" w:space="0"/>
            </w:tcBorders>
            <w:shd w:val="clear"/>
            <w:vAlign w:val="center"/>
          </w:tcPr>
          <w:p w14:paraId="7BDF3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2000份</w:t>
            </w:r>
          </w:p>
        </w:tc>
      </w:tr>
    </w:tbl>
    <w:p w14:paraId="023719E4">
      <w:pPr>
        <w:numPr>
          <w:numId w:val="0"/>
        </w:numPr>
        <w:rPr>
          <w:rFonts w:hint="default" w:ascii="宋体" w:hAnsi="宋体" w:eastAsia="宋体" w:cs="宋体"/>
          <w:sz w:val="21"/>
          <w:szCs w:val="21"/>
          <w:lang w:val="en-US" w:eastAsia="zh-CN"/>
        </w:rPr>
      </w:pPr>
    </w:p>
    <w:p w14:paraId="16C09977">
      <w:pPr>
        <w:pStyle w:val="9"/>
        <w:rPr>
          <w:rStyle w:val="13"/>
          <w:rFonts w:hint="eastAsia" w:ascii="宋体" w:hAnsi="宋体" w:eastAsia="宋体" w:cs="宋体"/>
          <w:sz w:val="21"/>
          <w:szCs w:val="21"/>
        </w:rPr>
      </w:pPr>
    </w:p>
    <w:p w14:paraId="7458CDD3">
      <w:pPr>
        <w:numPr>
          <w:numId w:val="0"/>
        </w:numPr>
        <w:spacing w:line="36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二、儿童发育筛查系统参数</w:t>
      </w:r>
    </w:p>
    <w:p w14:paraId="310A338A">
      <w:pPr>
        <w:spacing w:line="360" w:lineRule="auto"/>
        <w:rPr>
          <w:rFonts w:hint="eastAsia" w:ascii="宋体" w:hAnsi="宋体" w:eastAsia="宋体" w:cs="宋体"/>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b/>
          <w:sz w:val="21"/>
          <w:szCs w:val="21"/>
        </w:rPr>
        <w:t>儿童发育筛查系统</w:t>
      </w:r>
      <w:r>
        <w:rPr>
          <w:rFonts w:hint="eastAsia" w:ascii="宋体" w:hAnsi="宋体" w:eastAsia="宋体" w:cs="宋体"/>
          <w:kern w:val="0"/>
          <w:sz w:val="21"/>
          <w:szCs w:val="21"/>
        </w:rPr>
        <w:t>可在中国大陆地区进行临床筛查、科研项目研究、儿童保健等事宜；</w:t>
      </w:r>
    </w:p>
    <w:p w14:paraId="29D37D2F">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2、儿童发育筛查系统得到国际权威机构的认可和推荐，适用于6岁以下儿童的发育筛查；</w:t>
      </w:r>
    </w:p>
    <w:p w14:paraId="10FA155B">
      <w:pPr>
        <w:widowControl/>
        <w:shd w:val="clear" w:color="auto" w:fill="FFFFFF"/>
        <w:spacing w:line="45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b/>
          <w:sz w:val="21"/>
          <w:szCs w:val="21"/>
        </w:rPr>
        <w:t>儿童发育筛查系统</w:t>
      </w:r>
      <w:r>
        <w:rPr>
          <w:rFonts w:hint="eastAsia" w:ascii="宋体" w:hAnsi="宋体" w:eastAsia="宋体" w:cs="宋体"/>
          <w:color w:val="000000"/>
          <w:kern w:val="0"/>
          <w:sz w:val="21"/>
          <w:szCs w:val="21"/>
        </w:rPr>
        <w:t>开发了</w:t>
      </w:r>
      <w:r>
        <w:rPr>
          <w:rFonts w:hint="eastAsia" w:ascii="宋体" w:hAnsi="宋体" w:eastAsia="宋体" w:cs="宋体"/>
          <w:kern w:val="0"/>
          <w:sz w:val="21"/>
          <w:szCs w:val="21"/>
        </w:rPr>
        <w:t>网络在线筛查系统，可在线出具筛查报告，准确、方便、快捷；</w:t>
      </w:r>
    </w:p>
    <w:p w14:paraId="3B910089">
      <w:pPr>
        <w:widowControl/>
        <w:shd w:val="clear" w:color="auto" w:fill="FFFFFF"/>
        <w:spacing w:line="45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w:t>
      </w:r>
      <w:r>
        <w:rPr>
          <w:rFonts w:hint="eastAsia" w:ascii="宋体" w:hAnsi="宋体" w:eastAsia="宋体" w:cs="宋体"/>
          <w:b/>
          <w:sz w:val="21"/>
          <w:szCs w:val="21"/>
        </w:rPr>
        <w:t>儿童发育筛查系统</w:t>
      </w:r>
      <w:r>
        <w:rPr>
          <w:rFonts w:hint="eastAsia" w:ascii="宋体" w:hAnsi="宋体" w:eastAsia="宋体" w:cs="宋体"/>
          <w:color w:val="000000"/>
          <w:kern w:val="0"/>
          <w:sz w:val="21"/>
          <w:szCs w:val="21"/>
        </w:rPr>
        <w:t>测试由父母（孩子照顾人）完成，适用于0~6岁儿童发育水平的评估及发育迟滞的早期识别，测试内容包括：</w:t>
      </w:r>
    </w:p>
    <w:p w14:paraId="1B84F616">
      <w:pPr>
        <w:widowControl/>
        <w:shd w:val="clear" w:color="auto" w:fill="FFFFFF"/>
        <w:spacing w:line="450" w:lineRule="atLeast"/>
        <w:ind w:firstLine="420"/>
        <w:jc w:val="left"/>
        <w:rPr>
          <w:rFonts w:hint="eastAsia" w:ascii="宋体" w:hAnsi="宋体" w:eastAsia="宋体" w:cs="宋体"/>
          <w:sz w:val="21"/>
          <w:szCs w:val="21"/>
        </w:rPr>
      </w:pPr>
      <w:r>
        <w:rPr>
          <w:rFonts w:hint="eastAsia" w:ascii="宋体" w:hAnsi="宋体" w:eastAsia="宋体" w:cs="宋体"/>
          <w:color w:val="000000"/>
          <w:kern w:val="0"/>
          <w:sz w:val="21"/>
          <w:szCs w:val="21"/>
        </w:rPr>
        <w:fldChar w:fldCharType="begin"/>
      </w:r>
      <w:r>
        <w:rPr>
          <w:rFonts w:hint="eastAsia" w:ascii="宋体" w:hAnsi="宋体" w:eastAsia="宋体" w:cs="宋体"/>
          <w:color w:val="000000"/>
          <w:kern w:val="0"/>
          <w:sz w:val="21"/>
          <w:szCs w:val="21"/>
        </w:rPr>
        <w:instrText xml:space="preserve"> = 1 \* GB3 </w:instrText>
      </w:r>
      <w:r>
        <w:rPr>
          <w:rFonts w:hint="eastAsia" w:ascii="宋体" w:hAnsi="宋体" w:eastAsia="宋体" w:cs="宋体"/>
          <w:color w:val="000000"/>
          <w:kern w:val="0"/>
          <w:sz w:val="21"/>
          <w:szCs w:val="21"/>
        </w:rPr>
        <w:fldChar w:fldCharType="separate"/>
      </w:r>
      <w:r>
        <w:rPr>
          <w:rFonts w:hint="eastAsia" w:ascii="宋体" w:hAnsi="宋体" w:eastAsia="宋体" w:cs="宋体"/>
          <w:color w:val="000000"/>
          <w:kern w:val="0"/>
          <w:sz w:val="21"/>
          <w:szCs w:val="21"/>
        </w:rPr>
        <w:t>①</w:t>
      </w:r>
      <w:r>
        <w:rPr>
          <w:rFonts w:hint="eastAsia" w:ascii="宋体" w:hAnsi="宋体" w:eastAsia="宋体" w:cs="宋体"/>
          <w:color w:val="000000"/>
          <w:kern w:val="0"/>
          <w:sz w:val="21"/>
          <w:szCs w:val="21"/>
        </w:rPr>
        <w:fldChar w:fldCharType="end"/>
      </w:r>
      <w:r>
        <w:rPr>
          <w:rFonts w:hint="eastAsia" w:ascii="宋体" w:hAnsi="宋体" w:eastAsia="宋体" w:cs="宋体"/>
          <w:color w:val="000000"/>
          <w:kern w:val="0"/>
          <w:sz w:val="21"/>
          <w:szCs w:val="21"/>
        </w:rPr>
        <w:t xml:space="preserve"> </w:t>
      </w:r>
      <w:r>
        <w:rPr>
          <w:rFonts w:hint="eastAsia" w:ascii="宋体" w:hAnsi="宋体" w:eastAsia="宋体" w:cs="宋体"/>
          <w:b/>
          <w:sz w:val="21"/>
          <w:szCs w:val="21"/>
        </w:rPr>
        <w:t>分为</w:t>
      </w:r>
      <w:r>
        <w:rPr>
          <w:rFonts w:hint="eastAsia" w:ascii="宋体" w:hAnsi="宋体" w:eastAsia="宋体" w:cs="宋体"/>
          <w:kern w:val="0"/>
          <w:sz w:val="21"/>
          <w:szCs w:val="21"/>
        </w:rPr>
        <w:t>20个月龄组：评估</w:t>
      </w:r>
      <w:r>
        <w:rPr>
          <w:rFonts w:hint="eastAsia" w:ascii="宋体" w:hAnsi="宋体" w:eastAsia="宋体" w:cs="宋体"/>
          <w:color w:val="000000"/>
          <w:kern w:val="0"/>
          <w:sz w:val="21"/>
          <w:szCs w:val="21"/>
        </w:rPr>
        <w:t>6岁以下儿童</w:t>
      </w:r>
      <w:r>
        <w:rPr>
          <w:rFonts w:hint="eastAsia" w:ascii="宋体" w:hAnsi="宋体" w:eastAsia="宋体" w:cs="宋体"/>
          <w:sz w:val="21"/>
          <w:szCs w:val="21"/>
        </w:rPr>
        <w:t>的身体发育，每份问卷共有五个能区：</w:t>
      </w:r>
    </w:p>
    <w:p w14:paraId="29127CAC">
      <w:pPr>
        <w:widowControl/>
        <w:shd w:val="clear" w:color="auto" w:fill="FFFFFF"/>
        <w:spacing w:line="450" w:lineRule="atLeast"/>
        <w:ind w:firstLine="420"/>
        <w:jc w:val="left"/>
        <w:rPr>
          <w:rFonts w:hint="eastAsia" w:ascii="宋体" w:hAnsi="宋体" w:eastAsia="宋体" w:cs="宋体"/>
          <w:sz w:val="21"/>
          <w:szCs w:val="21"/>
        </w:rPr>
      </w:pPr>
      <w:r>
        <w:rPr>
          <w:rFonts w:hint="eastAsia" w:ascii="宋体" w:hAnsi="宋体" w:eastAsia="宋体" w:cs="宋体"/>
          <w:sz w:val="21"/>
          <w:szCs w:val="21"/>
        </w:rPr>
        <w:t xml:space="preserve">     沟通能区：评估对语言的理解和口头表达能力</w:t>
      </w:r>
    </w:p>
    <w:p w14:paraId="6293726E">
      <w:pPr>
        <w:widowControl/>
        <w:shd w:val="clear" w:color="auto" w:fill="FFFFFF"/>
        <w:spacing w:line="450" w:lineRule="atLeast"/>
        <w:ind w:firstLine="420"/>
        <w:jc w:val="left"/>
        <w:rPr>
          <w:rFonts w:hint="eastAsia" w:ascii="宋体" w:hAnsi="宋体" w:eastAsia="宋体" w:cs="宋体"/>
          <w:sz w:val="21"/>
          <w:szCs w:val="21"/>
        </w:rPr>
      </w:pPr>
      <w:r>
        <w:rPr>
          <w:rFonts w:hint="eastAsia" w:ascii="宋体" w:hAnsi="宋体" w:eastAsia="宋体" w:cs="宋体"/>
          <w:sz w:val="21"/>
          <w:szCs w:val="21"/>
        </w:rPr>
        <w:t xml:space="preserve">     粗大动作：评估大肌肉的运动能力</w:t>
      </w:r>
    </w:p>
    <w:p w14:paraId="3EC80AA0">
      <w:pPr>
        <w:widowControl/>
        <w:shd w:val="clear" w:color="auto" w:fill="FFFFFF"/>
        <w:spacing w:line="450" w:lineRule="atLeast"/>
        <w:ind w:firstLine="420"/>
        <w:jc w:val="left"/>
        <w:rPr>
          <w:rFonts w:hint="eastAsia" w:ascii="宋体" w:hAnsi="宋体" w:eastAsia="宋体" w:cs="宋体"/>
          <w:sz w:val="21"/>
          <w:szCs w:val="21"/>
        </w:rPr>
      </w:pPr>
      <w:r>
        <w:rPr>
          <w:rFonts w:hint="eastAsia" w:ascii="宋体" w:hAnsi="宋体" w:eastAsia="宋体" w:cs="宋体"/>
          <w:sz w:val="21"/>
          <w:szCs w:val="21"/>
        </w:rPr>
        <w:t xml:space="preserve">     精细动作：评估手和手指的运动和协调的能力</w:t>
      </w:r>
    </w:p>
    <w:p w14:paraId="042C8FF4">
      <w:pPr>
        <w:widowControl/>
        <w:shd w:val="clear" w:color="auto" w:fill="FFFFFF"/>
        <w:spacing w:line="450" w:lineRule="atLeast"/>
        <w:ind w:firstLine="420"/>
        <w:jc w:val="left"/>
        <w:rPr>
          <w:rFonts w:hint="eastAsia" w:ascii="宋体" w:hAnsi="宋体" w:eastAsia="宋体" w:cs="宋体"/>
          <w:sz w:val="21"/>
          <w:szCs w:val="21"/>
        </w:rPr>
      </w:pPr>
      <w:r>
        <w:rPr>
          <w:rFonts w:hint="eastAsia" w:ascii="宋体" w:hAnsi="宋体" w:eastAsia="宋体" w:cs="宋体"/>
          <w:sz w:val="21"/>
          <w:szCs w:val="21"/>
        </w:rPr>
        <w:t xml:space="preserve">     解决问题：评估玩玩具和解决问题的能力 </w:t>
      </w:r>
    </w:p>
    <w:p w14:paraId="7DDF1CD9">
      <w:pPr>
        <w:widowControl/>
        <w:shd w:val="clear" w:color="auto" w:fill="FFFFFF"/>
        <w:spacing w:line="450" w:lineRule="atLeast"/>
        <w:ind w:firstLine="420"/>
        <w:jc w:val="left"/>
        <w:rPr>
          <w:rFonts w:hint="eastAsia" w:ascii="宋体" w:hAnsi="宋体" w:eastAsia="宋体" w:cs="宋体"/>
          <w:sz w:val="21"/>
          <w:szCs w:val="21"/>
        </w:rPr>
      </w:pPr>
      <w:r>
        <w:rPr>
          <w:rFonts w:hint="eastAsia" w:ascii="宋体" w:hAnsi="宋体" w:eastAsia="宋体" w:cs="宋体"/>
          <w:sz w:val="21"/>
          <w:szCs w:val="21"/>
        </w:rPr>
        <w:t xml:space="preserve">     个人-社会：评估单独社交性玩耍、玩玩具、自助技能以及与其他人互动的能力 </w:t>
      </w:r>
    </w:p>
    <w:p w14:paraId="6A4844FA">
      <w:pPr>
        <w:widowControl/>
        <w:shd w:val="clear" w:color="auto" w:fill="FFFFFF"/>
        <w:spacing w:line="450" w:lineRule="atLeast"/>
        <w:ind w:firstLine="420"/>
        <w:jc w:val="left"/>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rPr>
          <w:rFonts w:hint="eastAsia" w:ascii="宋体" w:hAnsi="宋体" w:eastAsia="宋体" w:cs="宋体"/>
          <w:b/>
          <w:sz w:val="21"/>
          <w:szCs w:val="21"/>
        </w:rPr>
        <w:t>分为</w:t>
      </w:r>
      <w:r>
        <w:rPr>
          <w:rFonts w:hint="eastAsia" w:ascii="宋体" w:hAnsi="宋体" w:eastAsia="宋体" w:cs="宋体"/>
          <w:kern w:val="0"/>
          <w:sz w:val="21"/>
          <w:szCs w:val="21"/>
        </w:rPr>
        <w:t>8个月龄组：评估</w:t>
      </w:r>
      <w:r>
        <w:rPr>
          <w:rFonts w:hint="eastAsia" w:ascii="宋体" w:hAnsi="宋体" w:eastAsia="宋体" w:cs="宋体"/>
          <w:color w:val="000000"/>
          <w:kern w:val="0"/>
          <w:sz w:val="21"/>
          <w:szCs w:val="21"/>
        </w:rPr>
        <w:t>6岁以下儿童</w:t>
      </w:r>
      <w:r>
        <w:rPr>
          <w:rFonts w:hint="eastAsia" w:ascii="宋体" w:hAnsi="宋体" w:eastAsia="宋体" w:cs="宋体"/>
          <w:sz w:val="21"/>
          <w:szCs w:val="21"/>
        </w:rPr>
        <w:t>的社会情感发展，心理健康水平，每份问卷共有七个能区：</w:t>
      </w:r>
    </w:p>
    <w:p w14:paraId="1C0FD27E">
      <w:pPr>
        <w:shd w:val="clear" w:color="auto" w:fill="FFFFFF"/>
        <w:spacing w:line="450" w:lineRule="atLeast"/>
        <w:ind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自我调控：</w:t>
      </w:r>
      <w:r>
        <w:rPr>
          <w:rFonts w:hint="eastAsia" w:ascii="宋体" w:hAnsi="宋体" w:eastAsia="宋体" w:cs="宋体"/>
          <w:color w:val="000000"/>
          <w:sz w:val="21"/>
          <w:szCs w:val="21"/>
        </w:rPr>
        <w:t xml:space="preserve">使自己安静、安顿下来或适应生理或环境状况的能力或意愿 </w:t>
      </w:r>
    </w:p>
    <w:p w14:paraId="0794BBF5">
      <w:pPr>
        <w:shd w:val="clear" w:color="auto" w:fill="FFFFFF"/>
        <w:spacing w:line="450" w:lineRule="atLeast"/>
        <w:ind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依从性：</w:t>
      </w:r>
      <w:r>
        <w:rPr>
          <w:rFonts w:hint="eastAsia" w:ascii="宋体" w:hAnsi="宋体" w:eastAsia="宋体" w:cs="宋体"/>
          <w:color w:val="000000"/>
          <w:sz w:val="21"/>
          <w:szCs w:val="21"/>
        </w:rPr>
        <w:t xml:space="preserve">服从他人指令和遵守规则的能力或意愿 </w:t>
      </w:r>
    </w:p>
    <w:p w14:paraId="087D6EC1">
      <w:pPr>
        <w:shd w:val="clear" w:color="auto" w:fill="FFFFFF"/>
        <w:spacing w:line="450" w:lineRule="atLeast"/>
        <w:ind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沟通：</w:t>
      </w:r>
      <w:r>
        <w:rPr>
          <w:rFonts w:hint="eastAsia" w:ascii="宋体" w:hAnsi="宋体" w:eastAsia="宋体" w:cs="宋体"/>
          <w:color w:val="000000"/>
          <w:sz w:val="21"/>
          <w:szCs w:val="21"/>
        </w:rPr>
        <w:t xml:space="preserve">响应或发出言语或非言语信号来表达感觉、感情或内部状态的能力和意愿 </w:t>
      </w:r>
    </w:p>
    <w:p w14:paraId="53F188F9">
      <w:pPr>
        <w:shd w:val="clear" w:color="auto" w:fill="FFFFFF"/>
        <w:spacing w:line="450" w:lineRule="atLeast"/>
        <w:ind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适应能力：</w:t>
      </w:r>
      <w:r>
        <w:rPr>
          <w:rFonts w:hint="eastAsia" w:ascii="宋体" w:hAnsi="宋体" w:eastAsia="宋体" w:cs="宋体"/>
          <w:color w:val="000000"/>
          <w:sz w:val="21"/>
          <w:szCs w:val="21"/>
        </w:rPr>
        <w:t xml:space="preserve">成功地解决或应对生理需要（例如，睡觉、吃饭、排泄和安全）的能力 </w:t>
      </w:r>
    </w:p>
    <w:p w14:paraId="2B20EACB">
      <w:pPr>
        <w:shd w:val="clear" w:color="auto" w:fill="FFFFFF"/>
        <w:spacing w:line="450" w:lineRule="atLeast"/>
        <w:ind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自主性：</w:t>
      </w:r>
      <w:r>
        <w:rPr>
          <w:rFonts w:hint="eastAsia" w:ascii="宋体" w:hAnsi="宋体" w:eastAsia="宋体" w:cs="宋体"/>
          <w:color w:val="000000"/>
          <w:sz w:val="21"/>
          <w:szCs w:val="21"/>
        </w:rPr>
        <w:t xml:space="preserve">自行发起或五指令下的行为（例如，独立移动） </w:t>
      </w:r>
    </w:p>
    <w:p w14:paraId="64D38A48">
      <w:pPr>
        <w:shd w:val="clear" w:color="auto" w:fill="FFFFFF"/>
        <w:spacing w:line="450" w:lineRule="atLeast"/>
        <w:ind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情感：</w:t>
      </w:r>
      <w:r>
        <w:rPr>
          <w:rFonts w:hint="eastAsia" w:ascii="宋体" w:hAnsi="宋体" w:eastAsia="宋体" w:cs="宋体"/>
          <w:color w:val="000000"/>
          <w:sz w:val="21"/>
          <w:szCs w:val="21"/>
        </w:rPr>
        <w:t xml:space="preserve">展示感情和对他人的同情心的能力和意愿 </w:t>
      </w:r>
    </w:p>
    <w:p w14:paraId="73BC63A3">
      <w:pPr>
        <w:shd w:val="clear" w:color="auto" w:fill="FFFFFF"/>
        <w:spacing w:line="450" w:lineRule="atLeast"/>
        <w:ind w:firstLine="42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人际互动：</w:t>
      </w:r>
      <w:r>
        <w:rPr>
          <w:rFonts w:hint="eastAsia" w:ascii="宋体" w:hAnsi="宋体" w:eastAsia="宋体" w:cs="宋体"/>
          <w:color w:val="000000"/>
          <w:sz w:val="21"/>
          <w:szCs w:val="21"/>
        </w:rPr>
        <w:t xml:space="preserve">回应或启动与父母、其他成人和同龄儿童的社交反应的能力和意愿 </w:t>
      </w:r>
    </w:p>
    <w:p w14:paraId="0DB7C490">
      <w:pPr>
        <w:widowControl/>
        <w:numPr>
          <w:ilvl w:val="0"/>
          <w:numId w:val="3"/>
        </w:numPr>
        <w:shd w:val="clear" w:color="auto" w:fill="FFFFFF"/>
        <w:spacing w:line="450" w:lineRule="atLeast"/>
        <w:ind w:firstLine="420"/>
        <w:jc w:val="left"/>
        <w:rPr>
          <w:rFonts w:hint="eastAsia" w:ascii="宋体" w:hAnsi="宋体" w:eastAsia="宋体" w:cs="宋体"/>
          <w:color w:val="000000"/>
          <w:kern w:val="0"/>
          <w:sz w:val="21"/>
          <w:szCs w:val="21"/>
        </w:rPr>
      </w:pPr>
      <w:r>
        <w:rPr>
          <w:rFonts w:hint="eastAsia" w:ascii="宋体" w:hAnsi="宋体" w:eastAsia="宋体" w:cs="宋体"/>
          <w:b/>
          <w:sz w:val="21"/>
          <w:szCs w:val="21"/>
        </w:rPr>
        <w:t>儿童发育筛查系统</w:t>
      </w:r>
      <w:r>
        <w:rPr>
          <w:rFonts w:hint="eastAsia" w:ascii="宋体" w:hAnsi="宋体" w:eastAsia="宋体" w:cs="宋体"/>
          <w:color w:val="000000"/>
          <w:kern w:val="0"/>
          <w:sz w:val="21"/>
          <w:szCs w:val="21"/>
        </w:rPr>
        <w:t xml:space="preserve">根据评估结果，除了描述儿童的发育状态及水平，还可根据儿童发育、发展情况提供有针对性的指导方案，方便家长正确的引导和矫正婴幼儿可能出现的发育迟缓现象，并帮助基层妇幼保健人员辅助治疗发育迟缓的儿童，其中：测试（1）提供游戏活动（亲子活动），共计十一套，分为：1~4个月、4~8个月、8~12个月、12~16个月、16~20个月、20~24个月、24~30个月、30~36个月、36~48个月、48~60个月和60~66个月 </w:t>
      </w:r>
    </w:p>
    <w:p w14:paraId="24075A8F">
      <w:pPr>
        <w:widowControl/>
        <w:shd w:val="clear" w:color="auto" w:fill="FFFFFF"/>
        <w:spacing w:line="45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测试（2）提供社交-情绪行为发育目录和社交情绪游戏活动（亲子活动），共计9套，分为：出生-6个月、6个月、12个月、18个月、24个月、30个月、36个月、48个月、60个月</w:t>
      </w:r>
    </w:p>
    <w:p w14:paraId="286A8496">
      <w:pPr>
        <w:spacing w:line="360" w:lineRule="auto"/>
        <w:ind w:firstLine="420"/>
        <w:rPr>
          <w:rFonts w:hint="eastAsia" w:ascii="宋体" w:hAnsi="宋体" w:eastAsia="宋体" w:cs="宋体"/>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b/>
          <w:sz w:val="21"/>
          <w:szCs w:val="21"/>
        </w:rPr>
        <w:t>儿童发育筛查系统</w:t>
      </w:r>
      <w:r>
        <w:rPr>
          <w:rFonts w:hint="eastAsia" w:ascii="宋体" w:hAnsi="宋体" w:eastAsia="宋体" w:cs="宋体"/>
          <w:kern w:val="0"/>
          <w:sz w:val="21"/>
          <w:szCs w:val="21"/>
        </w:rPr>
        <w:t>每份问卷的测试时间可控制在10-15分钟完成。</w:t>
      </w:r>
    </w:p>
    <w:p w14:paraId="09F5245A">
      <w:pPr>
        <w:spacing w:line="360" w:lineRule="auto"/>
        <w:ind w:firstLine="420"/>
        <w:rPr>
          <w:rFonts w:hint="eastAsia" w:ascii="宋体" w:hAnsi="宋体" w:eastAsia="宋体" w:cs="宋体"/>
          <w:kern w:val="0"/>
          <w:sz w:val="21"/>
          <w:szCs w:val="21"/>
        </w:rPr>
      </w:pPr>
      <w:r>
        <w:rPr>
          <w:rFonts w:hint="eastAsia" w:ascii="宋体" w:hAnsi="宋体" w:eastAsia="宋体" w:cs="宋体"/>
          <w:kern w:val="0"/>
          <w:sz w:val="21"/>
          <w:szCs w:val="21"/>
        </w:rPr>
        <w:t>6、</w:t>
      </w:r>
      <w:r>
        <w:rPr>
          <w:rFonts w:hint="eastAsia" w:ascii="宋体" w:hAnsi="宋体" w:eastAsia="宋体" w:cs="宋体"/>
          <w:b/>
          <w:sz w:val="21"/>
          <w:szCs w:val="21"/>
        </w:rPr>
        <w:t>儿童发育筛查系统</w:t>
      </w:r>
      <w:r>
        <w:rPr>
          <w:rFonts w:hint="eastAsia" w:ascii="宋体" w:hAnsi="宋体" w:eastAsia="宋体" w:cs="宋体"/>
          <w:kern w:val="0"/>
          <w:sz w:val="21"/>
          <w:szCs w:val="21"/>
        </w:rPr>
        <w:t>评估原始分与常模分数（问题临界点）的对比由计算机程序自动完成，并即时生成评估报告，保证信度与效度，减少人工误差，易于操作。</w:t>
      </w:r>
    </w:p>
    <w:p w14:paraId="6333C074">
      <w:pPr>
        <w:spacing w:line="360" w:lineRule="auto"/>
        <w:ind w:firstLine="420"/>
        <w:rPr>
          <w:rFonts w:hint="eastAsia" w:ascii="宋体" w:hAnsi="宋体" w:eastAsia="宋体" w:cs="宋体"/>
          <w:kern w:val="0"/>
          <w:sz w:val="21"/>
          <w:szCs w:val="21"/>
        </w:rPr>
      </w:pPr>
      <w:r>
        <w:rPr>
          <w:rFonts w:hint="eastAsia" w:ascii="宋体" w:hAnsi="宋体" w:eastAsia="宋体" w:cs="宋体"/>
          <w:kern w:val="0"/>
          <w:sz w:val="21"/>
          <w:szCs w:val="21"/>
        </w:rPr>
        <w:t>7、</w:t>
      </w:r>
      <w:r>
        <w:rPr>
          <w:rFonts w:hint="eastAsia" w:ascii="宋体" w:hAnsi="宋体" w:eastAsia="宋体" w:cs="宋体"/>
          <w:b/>
          <w:sz w:val="21"/>
          <w:szCs w:val="21"/>
        </w:rPr>
        <w:t>儿童发育筛查系统</w:t>
      </w:r>
      <w:r>
        <w:rPr>
          <w:rFonts w:hint="eastAsia" w:ascii="宋体" w:hAnsi="宋体" w:eastAsia="宋体" w:cs="宋体"/>
          <w:kern w:val="0"/>
          <w:sz w:val="21"/>
          <w:szCs w:val="21"/>
        </w:rPr>
        <w:t>可实现全国联网查询儿童发育档案，解决由于就诊医院、地域不同等因素而造成的不便。</w:t>
      </w:r>
    </w:p>
    <w:p w14:paraId="1B0433C5">
      <w:pPr>
        <w:spacing w:line="360" w:lineRule="auto"/>
        <w:ind w:firstLine="420"/>
        <w:rPr>
          <w:rFonts w:hint="eastAsia" w:ascii="宋体" w:hAnsi="宋体" w:eastAsia="宋体" w:cs="宋体"/>
          <w:kern w:val="0"/>
          <w:sz w:val="21"/>
          <w:szCs w:val="21"/>
        </w:rPr>
      </w:pPr>
      <w:r>
        <w:rPr>
          <w:rFonts w:hint="eastAsia" w:ascii="宋体" w:hAnsi="宋体" w:eastAsia="宋体" w:cs="宋体"/>
          <w:kern w:val="0"/>
          <w:sz w:val="21"/>
          <w:szCs w:val="21"/>
        </w:rPr>
        <w:t>8、</w:t>
      </w:r>
      <w:r>
        <w:rPr>
          <w:rFonts w:hint="eastAsia" w:ascii="宋体" w:hAnsi="宋体" w:eastAsia="宋体" w:cs="宋体"/>
          <w:b/>
          <w:sz w:val="21"/>
          <w:szCs w:val="21"/>
        </w:rPr>
        <w:t>儿童发育筛查系统</w:t>
      </w:r>
      <w:r>
        <w:rPr>
          <w:rFonts w:hint="eastAsia" w:ascii="宋体" w:hAnsi="宋体" w:eastAsia="宋体" w:cs="宋体"/>
          <w:kern w:val="0"/>
          <w:sz w:val="21"/>
          <w:szCs w:val="21"/>
        </w:rPr>
        <w:t>可为儿童建立发育筛查档案、实时、长期、动态的监控儿童的发育状态及水平。</w:t>
      </w:r>
    </w:p>
    <w:p w14:paraId="5D15C699">
      <w:pPr>
        <w:widowControl/>
        <w:shd w:val="clear" w:color="auto" w:fill="FFFFFF"/>
        <w:spacing w:line="450" w:lineRule="atLeast"/>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9、</w:t>
      </w:r>
      <w:r>
        <w:rPr>
          <w:rFonts w:hint="eastAsia" w:ascii="宋体" w:hAnsi="宋体" w:eastAsia="宋体" w:cs="宋体"/>
          <w:b/>
          <w:sz w:val="21"/>
          <w:szCs w:val="21"/>
        </w:rPr>
        <w:t>儿童发育筛查系统</w:t>
      </w:r>
      <w:r>
        <w:rPr>
          <w:rFonts w:hint="eastAsia" w:ascii="宋体" w:hAnsi="宋体" w:eastAsia="宋体" w:cs="宋体"/>
          <w:kern w:val="0"/>
          <w:sz w:val="21"/>
          <w:szCs w:val="21"/>
        </w:rPr>
        <w:t>建立了最新的中国大陆版全国常模，2013年完成所有的常模研究工作。</w:t>
      </w:r>
    </w:p>
    <w:p w14:paraId="3FE85C67">
      <w:pPr>
        <w:widowControl/>
        <w:shd w:val="clear" w:color="auto" w:fill="FFFFFF"/>
        <w:spacing w:line="450" w:lineRule="atLeast"/>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10.系统后台数据服务器使用</w:t>
      </w:r>
      <w:bookmarkStart w:id="0" w:name="OLE_LINK1"/>
      <w:r>
        <w:rPr>
          <w:rFonts w:hint="eastAsia" w:ascii="宋体" w:hAnsi="宋体" w:eastAsia="宋体" w:cs="宋体"/>
          <w:kern w:val="0"/>
          <w:sz w:val="21"/>
          <w:szCs w:val="21"/>
        </w:rPr>
        <w:t>华为云</w:t>
      </w:r>
      <w:bookmarkEnd w:id="0"/>
      <w:r>
        <w:rPr>
          <w:rFonts w:hint="eastAsia" w:ascii="宋体" w:hAnsi="宋体" w:eastAsia="宋体" w:cs="宋体"/>
          <w:kern w:val="0"/>
          <w:sz w:val="21"/>
          <w:szCs w:val="21"/>
        </w:rPr>
        <w:t>服务器平台，数据安全稳定。</w:t>
      </w:r>
    </w:p>
    <w:p w14:paraId="4A74B552">
      <w:pPr>
        <w:numPr>
          <w:ilvl w:val="0"/>
          <w:numId w:val="0"/>
        </w:numPr>
        <w:spacing w:line="360" w:lineRule="auto"/>
        <w:rPr>
          <w:rFonts w:hint="eastAsia" w:ascii="宋体" w:hAnsi="宋体" w:eastAsia="宋体" w:cs="宋体"/>
          <w:sz w:val="21"/>
          <w:szCs w:val="21"/>
        </w:rPr>
      </w:pPr>
      <w:r>
        <w:rPr>
          <w:rFonts w:hint="eastAsia" w:ascii="宋体" w:hAnsi="宋体" w:eastAsia="宋体" w:cs="宋体"/>
          <w:color w:val="000000"/>
          <w:kern w:val="0"/>
          <w:sz w:val="21"/>
          <w:szCs w:val="21"/>
        </w:rPr>
        <w:t>11、</w:t>
      </w:r>
      <w:r>
        <w:rPr>
          <w:rFonts w:hint="eastAsia" w:ascii="宋体" w:hAnsi="宋体" w:eastAsia="宋体" w:cs="宋体"/>
          <w:b/>
          <w:sz w:val="21"/>
          <w:szCs w:val="21"/>
        </w:rPr>
        <w:t>儿童发育筛查系统可实现</w:t>
      </w:r>
      <w:r>
        <w:rPr>
          <w:rFonts w:hint="eastAsia" w:ascii="宋体" w:hAnsi="宋体" w:eastAsia="宋体" w:cs="宋体"/>
          <w:sz w:val="21"/>
          <w:szCs w:val="21"/>
        </w:rPr>
        <w:t>网络在线系统和家长端手机二维码填写功能。</w:t>
      </w:r>
    </w:p>
    <w:p w14:paraId="67AA68CE">
      <w:pPr>
        <w:numPr>
          <w:ilvl w:val="0"/>
          <w:numId w:val="0"/>
        </w:num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12、包含内容清单明细如下：</w:t>
      </w:r>
    </w:p>
    <w:tbl>
      <w:tblPr>
        <w:tblW w:w="73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39"/>
        <w:gridCol w:w="3525"/>
        <w:gridCol w:w="1211"/>
        <w:gridCol w:w="1230"/>
      </w:tblGrid>
      <w:tr w14:paraId="2640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9" w:type="dxa"/>
            <w:vMerge w:val="restart"/>
            <w:tcBorders>
              <w:top w:val="single" w:color="000000" w:sz="8" w:space="0"/>
              <w:left w:val="single" w:color="000000" w:sz="8" w:space="0"/>
              <w:bottom w:val="single" w:color="000000" w:sz="8" w:space="0"/>
              <w:right w:val="single" w:color="000000" w:sz="8" w:space="0"/>
            </w:tcBorders>
            <w:shd w:val="clear"/>
            <w:vAlign w:val="top"/>
          </w:tcPr>
          <w:p w14:paraId="4BE97E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3525" w:type="dxa"/>
            <w:vMerge w:val="restart"/>
            <w:tcBorders>
              <w:top w:val="single" w:color="000000" w:sz="8" w:space="0"/>
              <w:left w:val="single" w:color="000000" w:sz="8" w:space="0"/>
              <w:bottom w:val="single" w:color="000000" w:sz="8" w:space="0"/>
              <w:right w:val="single" w:color="000000" w:sz="8" w:space="0"/>
            </w:tcBorders>
            <w:shd w:val="clear"/>
            <w:vAlign w:val="top"/>
          </w:tcPr>
          <w:p w14:paraId="6B2420D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品名</w:t>
            </w:r>
          </w:p>
        </w:tc>
        <w:tc>
          <w:tcPr>
            <w:tcW w:w="1211" w:type="dxa"/>
            <w:vMerge w:val="restart"/>
            <w:tcBorders>
              <w:top w:val="single" w:color="000000" w:sz="8" w:space="0"/>
              <w:left w:val="single" w:color="000000" w:sz="8" w:space="0"/>
              <w:bottom w:val="single" w:color="000000" w:sz="8" w:space="0"/>
              <w:right w:val="single" w:color="000000" w:sz="8" w:space="0"/>
            </w:tcBorders>
            <w:shd w:val="clear"/>
            <w:vAlign w:val="top"/>
          </w:tcPr>
          <w:p w14:paraId="43391B7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规格型号</w:t>
            </w:r>
          </w:p>
        </w:tc>
        <w:tc>
          <w:tcPr>
            <w:tcW w:w="1230" w:type="dxa"/>
            <w:tcBorders>
              <w:top w:val="single" w:color="000000" w:sz="8" w:space="0"/>
              <w:left w:val="single" w:color="000000" w:sz="8" w:space="0"/>
              <w:bottom w:val="nil"/>
              <w:right w:val="single" w:color="000000" w:sz="8" w:space="0"/>
            </w:tcBorders>
            <w:shd w:val="clear"/>
            <w:vAlign w:val="top"/>
          </w:tcPr>
          <w:p w14:paraId="4C8496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r>
      <w:tr w14:paraId="0AA0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339" w:type="dxa"/>
            <w:vMerge w:val="continue"/>
            <w:tcBorders>
              <w:top w:val="single" w:color="000000" w:sz="8" w:space="0"/>
              <w:left w:val="single" w:color="000000" w:sz="8" w:space="0"/>
              <w:bottom w:val="single" w:color="000000" w:sz="8" w:space="0"/>
              <w:right w:val="single" w:color="000000" w:sz="8" w:space="0"/>
            </w:tcBorders>
            <w:shd w:val="clear"/>
            <w:vAlign w:val="top"/>
          </w:tcPr>
          <w:p w14:paraId="43C40A48">
            <w:pPr>
              <w:jc w:val="center"/>
              <w:rPr>
                <w:rFonts w:hint="eastAsia" w:ascii="宋体" w:hAnsi="宋体" w:eastAsia="宋体" w:cs="宋体"/>
                <w:i w:val="0"/>
                <w:iCs w:val="0"/>
                <w:color w:val="000000"/>
                <w:sz w:val="24"/>
                <w:szCs w:val="24"/>
                <w:u w:val="none"/>
              </w:rPr>
            </w:pPr>
          </w:p>
        </w:tc>
        <w:tc>
          <w:tcPr>
            <w:tcW w:w="3525" w:type="dxa"/>
            <w:vMerge w:val="continue"/>
            <w:tcBorders>
              <w:top w:val="single" w:color="000000" w:sz="8" w:space="0"/>
              <w:left w:val="single" w:color="000000" w:sz="8" w:space="0"/>
              <w:bottom w:val="single" w:color="000000" w:sz="8" w:space="0"/>
              <w:right w:val="single" w:color="000000" w:sz="8" w:space="0"/>
            </w:tcBorders>
            <w:shd w:val="clear"/>
            <w:vAlign w:val="top"/>
          </w:tcPr>
          <w:p w14:paraId="67254213">
            <w:pPr>
              <w:jc w:val="center"/>
              <w:rPr>
                <w:rFonts w:hint="eastAsia" w:ascii="宋体" w:hAnsi="宋体" w:eastAsia="宋体" w:cs="宋体"/>
                <w:i w:val="0"/>
                <w:iCs w:val="0"/>
                <w:color w:val="000000"/>
                <w:sz w:val="24"/>
                <w:szCs w:val="24"/>
                <w:u w:val="none"/>
              </w:rPr>
            </w:pPr>
          </w:p>
        </w:tc>
        <w:tc>
          <w:tcPr>
            <w:tcW w:w="1211" w:type="dxa"/>
            <w:vMerge w:val="continue"/>
            <w:tcBorders>
              <w:top w:val="single" w:color="000000" w:sz="8" w:space="0"/>
              <w:left w:val="single" w:color="000000" w:sz="8" w:space="0"/>
              <w:bottom w:val="single" w:color="000000" w:sz="8" w:space="0"/>
              <w:right w:val="single" w:color="000000" w:sz="8" w:space="0"/>
            </w:tcBorders>
            <w:shd w:val="clear"/>
            <w:vAlign w:val="top"/>
          </w:tcPr>
          <w:p w14:paraId="7CF8290E">
            <w:pPr>
              <w:jc w:val="center"/>
              <w:rPr>
                <w:rFonts w:hint="eastAsia" w:ascii="宋体" w:hAnsi="宋体" w:eastAsia="宋体" w:cs="宋体"/>
                <w:i w:val="0"/>
                <w:iCs w:val="0"/>
                <w:color w:val="000000"/>
                <w:sz w:val="24"/>
                <w:szCs w:val="24"/>
                <w:u w:val="none"/>
              </w:rPr>
            </w:pPr>
          </w:p>
        </w:tc>
        <w:tc>
          <w:tcPr>
            <w:tcW w:w="1230" w:type="dxa"/>
            <w:tcBorders>
              <w:top w:val="nil"/>
              <w:left w:val="single" w:color="000000" w:sz="8" w:space="0"/>
              <w:bottom w:val="single" w:color="000000" w:sz="8" w:space="0"/>
              <w:right w:val="single" w:color="000000" w:sz="8" w:space="0"/>
            </w:tcBorders>
            <w:shd w:val="clear"/>
            <w:vAlign w:val="top"/>
          </w:tcPr>
          <w:p w14:paraId="00083F3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r>
      <w:tr w14:paraId="7626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39" w:type="dxa"/>
            <w:tcBorders>
              <w:top w:val="nil"/>
              <w:left w:val="single" w:color="000000" w:sz="8" w:space="0"/>
              <w:bottom w:val="single" w:color="000000" w:sz="8" w:space="0"/>
              <w:right w:val="single" w:color="000000" w:sz="8" w:space="0"/>
            </w:tcBorders>
            <w:shd w:val="clear"/>
            <w:vAlign w:val="top"/>
          </w:tcPr>
          <w:p w14:paraId="31B0883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525" w:type="dxa"/>
            <w:tcBorders>
              <w:top w:val="nil"/>
              <w:left w:val="single" w:color="000000" w:sz="8" w:space="0"/>
              <w:bottom w:val="single" w:color="000000" w:sz="8" w:space="0"/>
              <w:right w:val="single" w:color="000000" w:sz="8" w:space="0"/>
            </w:tcBorders>
            <w:shd w:val="clear"/>
            <w:vAlign w:val="top"/>
          </w:tcPr>
          <w:p w14:paraId="308BC2F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包含ASQ-3网络在线系统</w:t>
            </w:r>
          </w:p>
        </w:tc>
        <w:tc>
          <w:tcPr>
            <w:tcW w:w="1211" w:type="dxa"/>
            <w:tcBorders>
              <w:top w:val="nil"/>
              <w:left w:val="single" w:color="000000" w:sz="8" w:space="0"/>
              <w:bottom w:val="single" w:color="000000" w:sz="8" w:space="0"/>
              <w:right w:val="single" w:color="000000" w:sz="8" w:space="0"/>
            </w:tcBorders>
            <w:shd w:val="clear"/>
            <w:vAlign w:val="top"/>
          </w:tcPr>
          <w:p w14:paraId="3EAC26F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份</w:t>
            </w:r>
          </w:p>
        </w:tc>
        <w:tc>
          <w:tcPr>
            <w:tcW w:w="1230" w:type="dxa"/>
            <w:tcBorders>
              <w:top w:val="nil"/>
              <w:left w:val="single" w:color="000000" w:sz="8" w:space="0"/>
              <w:bottom w:val="single" w:color="000000" w:sz="8" w:space="0"/>
              <w:right w:val="single" w:color="000000" w:sz="8" w:space="0"/>
            </w:tcBorders>
            <w:shd w:val="clear"/>
            <w:vAlign w:val="top"/>
          </w:tcPr>
          <w:p w14:paraId="27D544C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2500份</w:t>
            </w:r>
          </w:p>
        </w:tc>
      </w:tr>
      <w:tr w14:paraId="6C78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39" w:type="dxa"/>
            <w:tcBorders>
              <w:top w:val="nil"/>
              <w:left w:val="single" w:color="000000" w:sz="8" w:space="0"/>
              <w:bottom w:val="single" w:color="000000" w:sz="8" w:space="0"/>
              <w:right w:val="single" w:color="000000" w:sz="8" w:space="0"/>
            </w:tcBorders>
            <w:shd w:val="clear"/>
            <w:vAlign w:val="top"/>
          </w:tcPr>
          <w:p w14:paraId="10AD175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3525" w:type="dxa"/>
            <w:tcBorders>
              <w:top w:val="nil"/>
              <w:left w:val="single" w:color="000000" w:sz="8" w:space="0"/>
              <w:bottom w:val="single" w:color="000000" w:sz="8" w:space="0"/>
              <w:right w:val="single" w:color="000000" w:sz="8" w:space="0"/>
            </w:tcBorders>
            <w:shd w:val="clear"/>
            <w:vAlign w:val="top"/>
          </w:tcPr>
          <w:p w14:paraId="096E90E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包含ASQ-SE网络在线系统</w:t>
            </w:r>
          </w:p>
        </w:tc>
        <w:tc>
          <w:tcPr>
            <w:tcW w:w="1211" w:type="dxa"/>
            <w:tcBorders>
              <w:top w:val="nil"/>
              <w:left w:val="single" w:color="000000" w:sz="8" w:space="0"/>
              <w:bottom w:val="single" w:color="000000" w:sz="8" w:space="0"/>
              <w:right w:val="single" w:color="000000" w:sz="8" w:space="0"/>
            </w:tcBorders>
            <w:shd w:val="clear"/>
            <w:vAlign w:val="top"/>
          </w:tcPr>
          <w:p w14:paraId="6A6E70F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份</w:t>
            </w:r>
          </w:p>
        </w:tc>
        <w:tc>
          <w:tcPr>
            <w:tcW w:w="1230" w:type="dxa"/>
            <w:tcBorders>
              <w:top w:val="nil"/>
              <w:left w:val="single" w:color="000000" w:sz="8" w:space="0"/>
              <w:bottom w:val="single" w:color="000000" w:sz="8" w:space="0"/>
              <w:right w:val="single" w:color="000000" w:sz="8" w:space="0"/>
            </w:tcBorders>
            <w:shd w:val="clear"/>
            <w:vAlign w:val="top"/>
          </w:tcPr>
          <w:p w14:paraId="2D18E8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2500份</w:t>
            </w:r>
          </w:p>
        </w:tc>
      </w:tr>
      <w:tr w14:paraId="60A3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9" w:type="dxa"/>
            <w:tcBorders>
              <w:top w:val="nil"/>
              <w:left w:val="single" w:color="000000" w:sz="8" w:space="0"/>
              <w:bottom w:val="single" w:color="000000" w:sz="8" w:space="0"/>
              <w:right w:val="single" w:color="000000" w:sz="8" w:space="0"/>
            </w:tcBorders>
            <w:shd w:val="clear"/>
            <w:vAlign w:val="top"/>
          </w:tcPr>
          <w:p w14:paraId="23E1AC9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3525" w:type="dxa"/>
            <w:tcBorders>
              <w:top w:val="nil"/>
              <w:left w:val="single" w:color="000000" w:sz="8" w:space="0"/>
              <w:bottom w:val="single" w:color="000000" w:sz="8" w:space="0"/>
              <w:right w:val="single" w:color="000000" w:sz="8" w:space="0"/>
            </w:tcBorders>
            <w:shd w:val="clear"/>
            <w:vAlign w:val="top"/>
          </w:tcPr>
          <w:p w14:paraId="17A7DD5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ASQ筛查书籍</w:t>
            </w:r>
          </w:p>
        </w:tc>
        <w:tc>
          <w:tcPr>
            <w:tcW w:w="1211" w:type="dxa"/>
            <w:tcBorders>
              <w:top w:val="nil"/>
              <w:left w:val="single" w:color="000000" w:sz="8" w:space="0"/>
              <w:bottom w:val="single" w:color="000000" w:sz="8" w:space="0"/>
              <w:right w:val="single" w:color="000000" w:sz="8" w:space="0"/>
            </w:tcBorders>
            <w:shd w:val="clear"/>
            <w:vAlign w:val="top"/>
          </w:tcPr>
          <w:p w14:paraId="33670A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1230" w:type="dxa"/>
            <w:tcBorders>
              <w:top w:val="nil"/>
              <w:left w:val="single" w:color="000000" w:sz="8" w:space="0"/>
              <w:bottom w:val="single" w:color="000000" w:sz="8" w:space="0"/>
              <w:right w:val="single" w:color="000000" w:sz="8" w:space="0"/>
            </w:tcBorders>
            <w:shd w:val="clear"/>
            <w:vAlign w:val="top"/>
          </w:tcPr>
          <w:p w14:paraId="61023DE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434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9" w:type="dxa"/>
            <w:tcBorders>
              <w:top w:val="nil"/>
              <w:left w:val="single" w:color="000000" w:sz="8" w:space="0"/>
              <w:bottom w:val="single" w:color="000000" w:sz="8" w:space="0"/>
              <w:right w:val="single" w:color="000000" w:sz="8" w:space="0"/>
            </w:tcBorders>
            <w:shd w:val="clear"/>
            <w:vAlign w:val="top"/>
          </w:tcPr>
          <w:p w14:paraId="65954B6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525" w:type="dxa"/>
            <w:tcBorders>
              <w:top w:val="nil"/>
              <w:left w:val="single" w:color="000000" w:sz="8" w:space="0"/>
              <w:bottom w:val="single" w:color="000000" w:sz="8" w:space="0"/>
              <w:right w:val="single" w:color="000000" w:sz="8" w:space="0"/>
            </w:tcBorders>
            <w:shd w:val="clear"/>
            <w:vAlign w:val="top"/>
          </w:tcPr>
          <w:p w14:paraId="385C4A0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ASQ筛查工具箱</w:t>
            </w:r>
          </w:p>
        </w:tc>
        <w:tc>
          <w:tcPr>
            <w:tcW w:w="1211" w:type="dxa"/>
            <w:tcBorders>
              <w:top w:val="nil"/>
              <w:left w:val="single" w:color="000000" w:sz="8" w:space="0"/>
              <w:bottom w:val="single" w:color="000000" w:sz="8" w:space="0"/>
              <w:right w:val="single" w:color="000000" w:sz="8" w:space="0"/>
            </w:tcBorders>
            <w:shd w:val="clear"/>
            <w:vAlign w:val="top"/>
          </w:tcPr>
          <w:p w14:paraId="1FFDBDC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1230" w:type="dxa"/>
            <w:tcBorders>
              <w:top w:val="nil"/>
              <w:left w:val="single" w:color="000000" w:sz="8" w:space="0"/>
              <w:bottom w:val="single" w:color="000000" w:sz="8" w:space="0"/>
              <w:right w:val="single" w:color="000000" w:sz="8" w:space="0"/>
            </w:tcBorders>
            <w:shd w:val="clear"/>
            <w:vAlign w:val="top"/>
          </w:tcPr>
          <w:p w14:paraId="3728E98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0A26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9" w:type="dxa"/>
            <w:tcBorders>
              <w:top w:val="nil"/>
              <w:left w:val="single" w:color="000000" w:sz="8" w:space="0"/>
              <w:bottom w:val="single" w:color="000000" w:sz="8" w:space="0"/>
              <w:right w:val="single" w:color="000000" w:sz="8" w:space="0"/>
            </w:tcBorders>
            <w:shd w:val="clear"/>
            <w:vAlign w:val="top"/>
          </w:tcPr>
          <w:p w14:paraId="3B5D2CB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525" w:type="dxa"/>
            <w:tcBorders>
              <w:top w:val="nil"/>
              <w:left w:val="single" w:color="000000" w:sz="8" w:space="0"/>
              <w:bottom w:val="single" w:color="000000" w:sz="8" w:space="0"/>
              <w:right w:val="single" w:color="000000" w:sz="8" w:space="0"/>
            </w:tcBorders>
            <w:shd w:val="clear"/>
            <w:vAlign w:val="top"/>
          </w:tcPr>
          <w:p w14:paraId="2C2B936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ASQ培训名额</w:t>
            </w:r>
          </w:p>
        </w:tc>
        <w:tc>
          <w:tcPr>
            <w:tcW w:w="1211" w:type="dxa"/>
            <w:tcBorders>
              <w:top w:val="nil"/>
              <w:left w:val="single" w:color="000000" w:sz="8" w:space="0"/>
              <w:bottom w:val="single" w:color="000000" w:sz="8" w:space="0"/>
              <w:right w:val="single" w:color="000000" w:sz="8" w:space="0"/>
            </w:tcBorders>
            <w:shd w:val="clear"/>
            <w:vAlign w:val="top"/>
          </w:tcPr>
          <w:p w14:paraId="6DE58F0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w:t>
            </w:r>
          </w:p>
        </w:tc>
        <w:tc>
          <w:tcPr>
            <w:tcW w:w="1230" w:type="dxa"/>
            <w:tcBorders>
              <w:top w:val="nil"/>
              <w:left w:val="single" w:color="000000" w:sz="8" w:space="0"/>
              <w:bottom w:val="single" w:color="000000" w:sz="8" w:space="0"/>
              <w:right w:val="single" w:color="000000" w:sz="8" w:space="0"/>
            </w:tcBorders>
            <w:shd w:val="clear"/>
            <w:vAlign w:val="top"/>
          </w:tcPr>
          <w:p w14:paraId="2C1D6CF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bl>
    <w:p w14:paraId="3FEE105D">
      <w:pPr>
        <w:numPr>
          <w:ilvl w:val="0"/>
          <w:numId w:val="0"/>
        </w:numPr>
        <w:spacing w:line="360" w:lineRule="auto"/>
        <w:rPr>
          <w:rFonts w:hint="eastAsia" w:ascii="宋体" w:hAnsi="宋体" w:eastAsia="宋体" w:cs="宋体"/>
          <w:sz w:val="21"/>
          <w:szCs w:val="21"/>
        </w:rPr>
      </w:pPr>
    </w:p>
    <w:p w14:paraId="2BEE8BCC">
      <w:pPr>
        <w:numPr>
          <w:ilvl w:val="0"/>
          <w:numId w:val="0"/>
        </w:numPr>
        <w:spacing w:line="360" w:lineRule="auto"/>
        <w:rPr>
          <w:rFonts w:hint="eastAsia" w:ascii="宋体" w:hAnsi="宋体" w:eastAsia="宋体" w:cs="宋体"/>
          <w:sz w:val="21"/>
          <w:szCs w:val="21"/>
        </w:rPr>
      </w:pPr>
    </w:p>
    <w:p w14:paraId="75DC45E1">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b/>
          <w:kern w:val="2"/>
          <w:sz w:val="21"/>
          <w:szCs w:val="21"/>
          <w:lang w:val="en-US" w:eastAsia="zh-CN" w:bidi="ar-SA"/>
        </w:rPr>
        <w:t>二、付款方式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签订合同后，成交供应商供货并安装调试验收合格后，出具等额有效发票30个工作日内支付合同全额。</w:t>
      </w:r>
    </w:p>
    <w:p w14:paraId="47B7B043">
      <w:pPr>
        <w:numPr>
          <w:ilvl w:val="0"/>
          <w:numId w:val="0"/>
        </w:numPr>
        <w:spacing w:line="360" w:lineRule="auto"/>
        <w:ind w:firstLine="420" w:firstLineChars="200"/>
        <w:rPr>
          <w:rFonts w:hint="default" w:asciiTheme="minorEastAsia" w:hAnsiTheme="minorEastAsia" w:eastAsiaTheme="minorEastAsia" w:cstheme="minorEastAsia"/>
          <w:sz w:val="21"/>
          <w:szCs w:val="21"/>
          <w:lang w:val="en-US" w:eastAsia="zh-CN"/>
        </w:rPr>
      </w:pPr>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三</w:t>
      </w:r>
      <w:r>
        <w:rPr>
          <w:rFonts w:hint="eastAsia" w:asciiTheme="minorEastAsia" w:hAnsiTheme="minorEastAsia" w:eastAsiaTheme="minorEastAsia" w:cstheme="minorEastAsia"/>
          <w:b/>
          <w:sz w:val="21"/>
          <w:szCs w:val="21"/>
          <w:lang w:val="en-US" w:eastAsia="zh-CN"/>
        </w:rPr>
        <w:t>、报价要求</w:t>
      </w:r>
    </w:p>
    <w:p w14:paraId="5EF4F738">
      <w:pPr>
        <w:pStyle w:val="9"/>
        <w:rPr>
          <w:rFonts w:ascii="微软雅黑" w:hAnsi="微软雅黑" w:eastAsia="微软雅黑"/>
        </w:rPr>
      </w:pPr>
      <w:r>
        <w:rPr>
          <w:rFonts w:hint="eastAsia"/>
        </w:rPr>
        <w:t>报价供应商必须按要求完整填写相关附表，并签字盖章。</w:t>
      </w:r>
    </w:p>
    <w:p w14:paraId="1F29FFBF">
      <w:pPr>
        <w:pStyle w:val="9"/>
        <w:rPr>
          <w:rFonts w:ascii="微软雅黑" w:hAnsi="微软雅黑" w:eastAsia="微软雅黑"/>
        </w:rPr>
      </w:pPr>
      <w:r>
        <w:rPr>
          <w:rFonts w:hint="eastAsia"/>
        </w:rPr>
        <w:t>备注：</w:t>
      </w:r>
    </w:p>
    <w:p w14:paraId="6F502451">
      <w:pPr>
        <w:pStyle w:val="9"/>
        <w:rPr>
          <w:rFonts w:ascii="微软雅黑" w:hAnsi="微软雅黑" w:eastAsia="微软雅黑"/>
        </w:rPr>
      </w:pPr>
      <w:r>
        <w:rPr>
          <w:rFonts w:hint="eastAsia"/>
        </w:rPr>
        <w:t>1、该报价文件要求一正一副，密封递交。</w:t>
      </w:r>
    </w:p>
    <w:p w14:paraId="3F73B465">
      <w:pPr>
        <w:pStyle w:val="9"/>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9"/>
        <w:rPr>
          <w:rFonts w:ascii="微软雅黑" w:hAnsi="微软雅黑" w:eastAsia="微软雅黑"/>
        </w:rPr>
      </w:pPr>
      <w:r>
        <w:rPr>
          <w:rFonts w:hint="eastAsia"/>
        </w:rPr>
        <w:t>3、密封外包装加盖供应商印章。</w:t>
      </w:r>
    </w:p>
    <w:p w14:paraId="0D88FDC3">
      <w:pPr>
        <w:pStyle w:val="9"/>
        <w:rPr>
          <w:rFonts w:ascii="微软雅黑" w:hAnsi="微软雅黑" w:eastAsia="微软雅黑"/>
        </w:rPr>
      </w:pPr>
      <w:r>
        <w:rPr>
          <w:rFonts w:hint="eastAsia"/>
        </w:rPr>
        <w:t>4、如果未按要求密封和标记，采购人对误投或提前启封概不负责。</w:t>
      </w:r>
    </w:p>
    <w:p w14:paraId="4EA00816">
      <w:pPr>
        <w:pStyle w:val="9"/>
      </w:pPr>
      <w:r>
        <w:rPr>
          <w:rFonts w:hint="eastAsia"/>
        </w:rPr>
        <w:t>5、★供应商必须根据采购项目的技术参数按顺序逐条响应，佐证材料标注页码，否则可作废处理。</w:t>
      </w:r>
      <w:r>
        <w:t xml:space="preserve">        </w:t>
      </w:r>
    </w:p>
    <w:p w14:paraId="3F0AD8CF">
      <w:pPr>
        <w:pStyle w:val="9"/>
        <w:rPr>
          <w:rFonts w:ascii="微软雅黑" w:hAnsi="微软雅黑" w:eastAsia="微软雅黑"/>
        </w:rPr>
      </w:pPr>
    </w:p>
    <w:p w14:paraId="4C54D355">
      <w:pPr>
        <w:pStyle w:val="9"/>
        <w:rPr>
          <w:rFonts w:ascii="微软雅黑" w:hAnsi="微软雅黑" w:eastAsia="微软雅黑"/>
        </w:rPr>
      </w:pPr>
    </w:p>
    <w:p w14:paraId="1ACAE2C9">
      <w:pPr>
        <w:pStyle w:val="9"/>
        <w:rPr>
          <w:rFonts w:ascii="微软雅黑" w:hAnsi="微软雅黑" w:eastAsia="微软雅黑"/>
        </w:rPr>
      </w:pPr>
    </w:p>
    <w:p w14:paraId="368DF5D7">
      <w:pPr>
        <w:pStyle w:val="9"/>
        <w:rPr>
          <w:rFonts w:ascii="微软雅黑" w:hAnsi="微软雅黑" w:eastAsia="微软雅黑"/>
        </w:rPr>
      </w:pPr>
      <w:bookmarkStart w:id="1" w:name="_GoBack"/>
      <w:bookmarkEnd w:id="1"/>
    </w:p>
    <w:p w14:paraId="7A357160">
      <w:pPr>
        <w:rPr>
          <w:rFonts w:hint="eastAsia" w:asciiTheme="minorEastAsia" w:hAnsiTheme="minorEastAsia" w:eastAsiaTheme="minorEastAsia" w:cstheme="minorEastAsia"/>
          <w:sz w:val="21"/>
          <w:szCs w:val="21"/>
          <w:lang w:eastAsia="zh-CN"/>
        </w:rPr>
      </w:pP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中山市古镇人民医院儿科营养不良评估筛查工具及儿童发育筛查系统项目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3"/>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4"/>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4"/>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9"/>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DCE393-4845-48A6-81A0-AC4D6A610DCF}"/>
  </w:font>
  <w:font w:name="黑体">
    <w:panose1 w:val="02010609060101010101"/>
    <w:charset w:val="86"/>
    <w:family w:val="auto"/>
    <w:pitch w:val="default"/>
    <w:sig w:usb0="800002BF" w:usb1="38CF7CFA" w:usb2="00000016" w:usb3="00000000" w:csb0="00040001" w:csb1="00000000"/>
    <w:embedRegular r:id="rId2" w:fontKey="{65600242-82DE-48B2-9C64-2955F14D0F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87C4668C-3070-4A2C-A5B2-15DB98320096}"/>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4" w:fontKey="{8D26A200-5748-4C62-96FC-743728751E1F}"/>
  </w:font>
  <w:font w:name="汉仪中黑简">
    <w:panose1 w:val="02010600000101010101"/>
    <w:charset w:val="86"/>
    <w:family w:val="auto"/>
    <w:pitch w:val="default"/>
    <w:sig w:usb0="00000001" w:usb1="080E0800" w:usb2="00000002" w:usb3="00000000" w:csb0="00040000" w:csb1="00000000"/>
    <w:embedRegular r:id="rId5" w:fontKey="{320E9DF9-CC45-46D1-BD21-14959EC201DF}"/>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00C48"/>
    <w:multiLevelType w:val="singleLevel"/>
    <w:tmpl w:val="C3900C48"/>
    <w:lvl w:ilvl="0" w:tentative="0">
      <w:start w:val="4"/>
      <w:numFmt w:val="decimal"/>
      <w:suff w:val="nothing"/>
      <w:lvlText w:val="%1、"/>
      <w:lvlJc w:val="left"/>
    </w:lvl>
  </w:abstractNum>
  <w:abstractNum w:abstractNumId="1">
    <w:nsid w:val="D34ADC99"/>
    <w:multiLevelType w:val="singleLevel"/>
    <w:tmpl w:val="D34ADC99"/>
    <w:lvl w:ilvl="0" w:tentative="0">
      <w:start w:val="10"/>
      <w:numFmt w:val="decimal"/>
      <w:suff w:val="nothing"/>
      <w:lvlText w:val="（%1）"/>
      <w:lvlJc w:val="left"/>
    </w:lvl>
  </w:abstractNum>
  <w:abstractNum w:abstractNumId="2">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5AFEB178"/>
    <w:multiLevelType w:val="singleLevel"/>
    <w:tmpl w:val="5AFEB178"/>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96343C5"/>
    <w:rsid w:val="0A20501F"/>
    <w:rsid w:val="0AF74548"/>
    <w:rsid w:val="0FEE78CD"/>
    <w:rsid w:val="13872B27"/>
    <w:rsid w:val="13A252B3"/>
    <w:rsid w:val="151439D2"/>
    <w:rsid w:val="1600573D"/>
    <w:rsid w:val="1688195D"/>
    <w:rsid w:val="17DE1280"/>
    <w:rsid w:val="1A4F2543"/>
    <w:rsid w:val="1FF468DA"/>
    <w:rsid w:val="216923C7"/>
    <w:rsid w:val="2AD92954"/>
    <w:rsid w:val="2F983443"/>
    <w:rsid w:val="317F364C"/>
    <w:rsid w:val="322D2222"/>
    <w:rsid w:val="32AE2918"/>
    <w:rsid w:val="32B91648"/>
    <w:rsid w:val="3A900623"/>
    <w:rsid w:val="3D98059B"/>
    <w:rsid w:val="40037848"/>
    <w:rsid w:val="4012471B"/>
    <w:rsid w:val="48B85F79"/>
    <w:rsid w:val="48E829AC"/>
    <w:rsid w:val="4A0A01F6"/>
    <w:rsid w:val="4C29594F"/>
    <w:rsid w:val="4C7664D1"/>
    <w:rsid w:val="4E110ACB"/>
    <w:rsid w:val="4F84695F"/>
    <w:rsid w:val="52154D37"/>
    <w:rsid w:val="55530C3C"/>
    <w:rsid w:val="5669507B"/>
    <w:rsid w:val="59E950F3"/>
    <w:rsid w:val="5B29680B"/>
    <w:rsid w:val="5EA63358"/>
    <w:rsid w:val="640A5DBF"/>
    <w:rsid w:val="64EA5182"/>
    <w:rsid w:val="6A010552"/>
    <w:rsid w:val="6EED08A1"/>
    <w:rsid w:val="765A3553"/>
    <w:rsid w:val="77954AC0"/>
    <w:rsid w:val="782E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style>
  <w:style w:type="paragraph" w:styleId="9">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customStyle="1" w:styleId="14">
    <w:name w:val="页眉 字符"/>
    <w:basedOn w:val="12"/>
    <w:link w:val="7"/>
    <w:autoRedefine/>
    <w:qFormat/>
    <w:uiPriority w:val="99"/>
    <w:rPr>
      <w:sz w:val="18"/>
      <w:szCs w:val="18"/>
    </w:rPr>
  </w:style>
  <w:style w:type="character" w:customStyle="1" w:styleId="15">
    <w:name w:val="页脚 字符"/>
    <w:basedOn w:val="12"/>
    <w:link w:val="6"/>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font51"/>
    <w:basedOn w:val="12"/>
    <w:autoRedefine/>
    <w:qFormat/>
    <w:uiPriority w:val="0"/>
    <w:rPr>
      <w:rFonts w:ascii="宋体" w:hAnsi="宋体" w:eastAsia="宋体" w:cs="宋体"/>
      <w:b/>
      <w:bCs/>
      <w:color w:val="000000"/>
      <w:sz w:val="16"/>
      <w:szCs w:val="16"/>
      <w:u w:val="none"/>
    </w:rPr>
  </w:style>
  <w:style w:type="character" w:customStyle="1" w:styleId="18">
    <w:name w:val="font41"/>
    <w:basedOn w:val="12"/>
    <w:autoRedefine/>
    <w:qFormat/>
    <w:uiPriority w:val="0"/>
    <w:rPr>
      <w:rFonts w:ascii="宋体" w:hAnsi="宋体" w:eastAsia="宋体" w:cs="宋体"/>
      <w:color w:val="000000"/>
      <w:sz w:val="16"/>
      <w:szCs w:val="16"/>
      <w:u w:val="none"/>
    </w:rPr>
  </w:style>
  <w:style w:type="character" w:customStyle="1" w:styleId="19">
    <w:name w:val="font21"/>
    <w:basedOn w:val="12"/>
    <w:autoRedefine/>
    <w:qFormat/>
    <w:uiPriority w:val="0"/>
    <w:rPr>
      <w:rFonts w:ascii="宋体" w:hAnsi="宋体" w:eastAsia="宋体" w:cs="宋体"/>
      <w:color w:val="000000"/>
      <w:sz w:val="8"/>
      <w:szCs w:val="8"/>
      <w:u w:val="none"/>
    </w:rPr>
  </w:style>
  <w:style w:type="character" w:customStyle="1" w:styleId="20">
    <w:name w:val="font61"/>
    <w:basedOn w:val="12"/>
    <w:autoRedefine/>
    <w:qFormat/>
    <w:uiPriority w:val="0"/>
    <w:rPr>
      <w:rFonts w:ascii="宋体" w:hAnsi="宋体" w:eastAsia="宋体" w:cs="宋体"/>
      <w:b/>
      <w:bCs/>
      <w:color w:val="000000"/>
      <w:sz w:val="10"/>
      <w:szCs w:val="10"/>
      <w:u w:val="none"/>
    </w:rPr>
  </w:style>
  <w:style w:type="character" w:customStyle="1" w:styleId="21">
    <w:name w:val="font71"/>
    <w:basedOn w:val="12"/>
    <w:autoRedefine/>
    <w:qFormat/>
    <w:uiPriority w:val="0"/>
    <w:rPr>
      <w:rFonts w:ascii="黑体" w:hAnsi="宋体" w:eastAsia="黑体" w:cs="黑体"/>
      <w:b/>
      <w:bCs/>
      <w:color w:val="000000"/>
      <w:sz w:val="12"/>
      <w:szCs w:val="12"/>
      <w:u w:val="none"/>
    </w:rPr>
  </w:style>
  <w:style w:type="character" w:customStyle="1" w:styleId="22">
    <w:name w:val="font31"/>
    <w:basedOn w:val="12"/>
    <w:autoRedefine/>
    <w:qFormat/>
    <w:uiPriority w:val="0"/>
    <w:rPr>
      <w:rFonts w:ascii="宋体" w:hAnsi="宋体" w:eastAsia="宋体" w:cs="宋体"/>
      <w:color w:val="000000"/>
      <w:sz w:val="8"/>
      <w:szCs w:val="8"/>
      <w:u w:val="none"/>
    </w:rPr>
  </w:style>
  <w:style w:type="character" w:customStyle="1" w:styleId="23">
    <w:name w:val="font81"/>
    <w:basedOn w:val="12"/>
    <w:autoRedefine/>
    <w:qFormat/>
    <w:uiPriority w:val="0"/>
    <w:rPr>
      <w:rFonts w:hint="default" w:ascii="Arial" w:hAnsi="Arial" w:cs="Arial"/>
      <w:color w:val="000000"/>
      <w:sz w:val="7"/>
      <w:szCs w:val="7"/>
      <w:u w:val="none"/>
    </w:rPr>
  </w:style>
  <w:style w:type="character" w:customStyle="1" w:styleId="24">
    <w:name w:val="font91"/>
    <w:basedOn w:val="12"/>
    <w:autoRedefine/>
    <w:qFormat/>
    <w:uiPriority w:val="0"/>
    <w:rPr>
      <w:rFonts w:ascii="隶书" w:hAnsi="隶书" w:eastAsia="隶书" w:cs="隶书"/>
      <w:color w:val="000000"/>
      <w:sz w:val="8"/>
      <w:szCs w:val="8"/>
      <w:u w:val="none"/>
    </w:rPr>
  </w:style>
  <w:style w:type="character" w:customStyle="1" w:styleId="25">
    <w:name w:val="font101"/>
    <w:basedOn w:val="12"/>
    <w:autoRedefine/>
    <w:qFormat/>
    <w:uiPriority w:val="0"/>
    <w:rPr>
      <w:rFonts w:hint="default" w:ascii="Arial" w:hAnsi="Arial" w:cs="Arial"/>
      <w:color w:val="000000"/>
      <w:sz w:val="8"/>
      <w:szCs w:val="8"/>
      <w:u w:val="none"/>
    </w:rPr>
  </w:style>
  <w:style w:type="character" w:customStyle="1" w:styleId="26">
    <w:name w:val="font112"/>
    <w:basedOn w:val="12"/>
    <w:autoRedefine/>
    <w:qFormat/>
    <w:uiPriority w:val="0"/>
    <w:rPr>
      <w:rFonts w:ascii="宋体" w:hAnsi="宋体" w:eastAsia="宋体" w:cs="宋体"/>
      <w:color w:val="533A37"/>
      <w:sz w:val="8"/>
      <w:szCs w:val="8"/>
      <w:u w:val="none"/>
    </w:rPr>
  </w:style>
  <w:style w:type="character" w:customStyle="1" w:styleId="27">
    <w:name w:val="font121"/>
    <w:basedOn w:val="12"/>
    <w:autoRedefine/>
    <w:qFormat/>
    <w:uiPriority w:val="0"/>
    <w:rPr>
      <w:rFonts w:hint="default" w:ascii="Arial" w:hAnsi="Arial" w:cs="Arial"/>
      <w:color w:val="000000"/>
      <w:sz w:val="12"/>
      <w:szCs w:val="12"/>
      <w:u w:val="none"/>
    </w:rPr>
  </w:style>
  <w:style w:type="character" w:customStyle="1" w:styleId="28">
    <w:name w:val="font131"/>
    <w:basedOn w:val="12"/>
    <w:autoRedefine/>
    <w:qFormat/>
    <w:uiPriority w:val="0"/>
    <w:rPr>
      <w:rFonts w:ascii="宋体" w:hAnsi="宋体" w:eastAsia="宋体" w:cs="宋体"/>
      <w:color w:val="000000"/>
      <w:sz w:val="12"/>
      <w:szCs w:val="12"/>
      <w:u w:val="none"/>
    </w:rPr>
  </w:style>
  <w:style w:type="character" w:customStyle="1" w:styleId="29">
    <w:name w:val="font141"/>
    <w:basedOn w:val="12"/>
    <w:autoRedefine/>
    <w:qFormat/>
    <w:uiPriority w:val="0"/>
    <w:rPr>
      <w:rFonts w:ascii="宋体" w:hAnsi="宋体" w:eastAsia="宋体" w:cs="宋体"/>
      <w:color w:val="765E36"/>
      <w:sz w:val="8"/>
      <w:szCs w:val="8"/>
      <w:u w:val="none"/>
    </w:rPr>
  </w:style>
  <w:style w:type="character" w:customStyle="1" w:styleId="30">
    <w:name w:val="font151"/>
    <w:basedOn w:val="12"/>
    <w:autoRedefine/>
    <w:qFormat/>
    <w:uiPriority w:val="0"/>
    <w:rPr>
      <w:rFonts w:hint="default" w:ascii="Times New Roman" w:hAnsi="Times New Roman" w:cs="Times New Roman"/>
      <w:b/>
      <w:bCs/>
      <w:color w:val="000000"/>
      <w:sz w:val="12"/>
      <w:szCs w:val="12"/>
      <w:u w:val="none"/>
    </w:rPr>
  </w:style>
  <w:style w:type="character" w:customStyle="1" w:styleId="31">
    <w:name w:val="font11"/>
    <w:basedOn w:val="12"/>
    <w:autoRedefine/>
    <w:qFormat/>
    <w:uiPriority w:val="0"/>
    <w:rPr>
      <w:rFonts w:hint="eastAsia" w:ascii="宋体" w:hAnsi="宋体" w:eastAsia="宋体" w:cs="宋体"/>
      <w:color w:val="000000"/>
      <w:sz w:val="20"/>
      <w:szCs w:val="20"/>
      <w:u w:val="none"/>
    </w:rPr>
  </w:style>
  <w:style w:type="character" w:customStyle="1" w:styleId="32">
    <w:name w:val="font01"/>
    <w:basedOn w:val="12"/>
    <w:autoRedefine/>
    <w:qFormat/>
    <w:uiPriority w:val="0"/>
    <w:rPr>
      <w:rFonts w:hint="default" w:ascii="Arial" w:hAnsi="Arial" w:cs="Arial"/>
      <w:color w:val="000000"/>
      <w:sz w:val="20"/>
      <w:szCs w:val="20"/>
      <w:u w:val="none"/>
    </w:rPr>
  </w:style>
  <w:style w:type="paragraph" w:customStyle="1" w:styleId="33">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2068</Words>
  <Characters>2513</Characters>
  <Lines>52</Lines>
  <Paragraphs>14</Paragraphs>
  <TotalTime>11</TotalTime>
  <ScaleCrop>false</ScaleCrop>
  <LinksUpToDate>false</LinksUpToDate>
  <CharactersWithSpaces>2664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韩美臣</cp:lastModifiedBy>
  <cp:lastPrinted>2024-12-25T04:08:00Z</cp:lastPrinted>
  <dcterms:modified xsi:type="dcterms:W3CDTF">2026-03-25T08:59:55Z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5CB63412B3EC4C5BB0245992B6A99505_13</vt:lpwstr>
  </property>
  <property fmtid="{D5CDD505-2E9C-101B-9397-08002B2CF9AE}" pid="4" name="KSOTemplateDocerSaveRecord">
    <vt:lpwstr>eyJoZGlkIjoiYWZkNjU5MzVmYjQ0YmE4MDUyZjJhM2NjZDYwNTZjMjEiLCJ1c2VySWQiOiIxNjgyMzIzMTY5In0=</vt:lpwstr>
  </property>
</Properties>
</file>