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8"/>
        <w:jc w:val="center"/>
      </w:pPr>
      <w:r>
        <w:rPr>
          <w:rFonts w:hint="eastAsia" w:ascii="宋体" w:hAnsi="宋体" w:cs="宋体"/>
          <w:b/>
          <w:bCs w:val="0"/>
          <w:sz w:val="36"/>
          <w:szCs w:val="36"/>
          <w:lang w:eastAsia="zh-CN"/>
        </w:rPr>
        <w:t>中山市古镇人民医院</w:t>
      </w:r>
      <w:r>
        <w:rPr>
          <w:rFonts w:hint="eastAsia" w:cs="宋体"/>
          <w:b/>
          <w:bCs w:val="0"/>
          <w:sz w:val="36"/>
          <w:szCs w:val="36"/>
          <w:lang w:eastAsia="zh-CN"/>
        </w:rPr>
        <w:t>天融信超融合及杀毒EDR维保服务项目</w:t>
      </w:r>
      <w:r>
        <w:rPr>
          <w:rFonts w:hint="eastAsia"/>
          <w:b/>
          <w:bCs w:val="0"/>
          <w:sz w:val="36"/>
          <w:szCs w:val="36"/>
        </w:rPr>
        <w:t>报价</w:t>
      </w:r>
      <w:r>
        <w:rPr>
          <w:b/>
          <w:bCs w:val="0"/>
          <w:sz w:val="36"/>
          <w:szCs w:val="36"/>
        </w:rPr>
        <w:t>邀请函</w:t>
      </w:r>
    </w:p>
    <w:p w14:paraId="3BE27157">
      <w:pPr>
        <w:pStyle w:val="8"/>
        <w:rPr>
          <w:rFonts w:ascii="微软雅黑" w:hAnsi="微软雅黑" w:eastAsia="微软雅黑"/>
        </w:rPr>
      </w:pPr>
      <w:r>
        <w:rPr>
          <w:rFonts w:hint="eastAsia"/>
        </w:rPr>
        <w:t>各潜在供应商：</w:t>
      </w:r>
    </w:p>
    <w:p w14:paraId="27C32B67">
      <w:pPr>
        <w:pStyle w:val="8"/>
        <w:rPr>
          <w:rFonts w:ascii="微软雅黑" w:hAnsi="微软雅黑" w:eastAsia="微软雅黑"/>
        </w:rPr>
      </w:pPr>
      <w:r>
        <w:rPr>
          <w:rFonts w:hint="eastAsia"/>
        </w:rPr>
        <w:t>中山市古镇人民医院对</w:t>
      </w:r>
      <w:r>
        <w:rPr>
          <w:rFonts w:hint="eastAsia"/>
          <w:lang w:eastAsia="zh-CN"/>
        </w:rPr>
        <w:t>天融信超融合及杀毒EDR维保服务项目</w:t>
      </w:r>
      <w:r>
        <w:rPr>
          <w:rFonts w:hint="eastAsia"/>
        </w:rPr>
        <w:t>采购项目进行采购，欢迎符合资格条件的报价人报价。</w:t>
      </w:r>
    </w:p>
    <w:p w14:paraId="6AA884F6">
      <w:pPr>
        <w:pStyle w:val="8"/>
        <w:rPr>
          <w:rFonts w:ascii="微软雅黑" w:hAnsi="微软雅黑" w:eastAsia="微软雅黑"/>
        </w:rPr>
      </w:pPr>
      <w:r>
        <w:rPr>
          <w:rFonts w:hint="eastAsia"/>
        </w:rPr>
        <w:t>一、项目名称：中山市古镇人民医院</w:t>
      </w:r>
      <w:r>
        <w:rPr>
          <w:rFonts w:hint="eastAsia"/>
          <w:lang w:eastAsia="zh-CN"/>
        </w:rPr>
        <w:t>天融信超融合及杀毒EDR维保服务项目</w:t>
      </w:r>
      <w:r>
        <w:rPr>
          <w:rFonts w:hint="eastAsia"/>
        </w:rPr>
        <w:t>采购项目</w:t>
      </w:r>
    </w:p>
    <w:p w14:paraId="38E616DD">
      <w:pPr>
        <w:pStyle w:val="8"/>
        <w:rPr>
          <w:rFonts w:ascii="微软雅黑" w:hAnsi="微软雅黑" w:eastAsia="微软雅黑"/>
        </w:rPr>
      </w:pPr>
      <w:r>
        <w:rPr>
          <w:rFonts w:hint="eastAsia"/>
        </w:rPr>
        <w:t>二、采购上限价：该项目采购上限价为人民币</w:t>
      </w:r>
      <w:r>
        <w:rPr>
          <w:rFonts w:hint="eastAsia"/>
          <w:lang w:val="en-US" w:eastAsia="zh-CN"/>
        </w:rPr>
        <w:t>49250</w:t>
      </w:r>
      <w:r>
        <w:rPr>
          <w:rFonts w:hint="eastAsia"/>
        </w:rPr>
        <w:t>元（含税）。</w:t>
      </w:r>
    </w:p>
    <w:p w14:paraId="4A4BF595">
      <w:pPr>
        <w:pStyle w:val="8"/>
        <w:rPr>
          <w:rFonts w:ascii="微软雅黑" w:hAnsi="微软雅黑" w:eastAsia="微软雅黑"/>
        </w:rPr>
      </w:pPr>
      <w:r>
        <w:rPr>
          <w:rFonts w:hint="eastAsia"/>
        </w:rPr>
        <w:t>三、采购说明：</w:t>
      </w:r>
    </w:p>
    <w:p w14:paraId="65994F05">
      <w:pPr>
        <w:pStyle w:val="8"/>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8"/>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8"/>
        <w:rPr>
          <w:rFonts w:ascii="微软雅黑" w:hAnsi="微软雅黑" w:eastAsia="微软雅黑"/>
        </w:rPr>
      </w:pPr>
      <w:r>
        <w:rPr>
          <w:rFonts w:hint="eastAsia"/>
        </w:rPr>
        <w:t>（三）最终结算以按实结算为准，结算总价原则不得超出中选价，超出部分按照相关规定实施。</w:t>
      </w:r>
    </w:p>
    <w:p w14:paraId="30020355">
      <w:pPr>
        <w:pStyle w:val="8"/>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天融信超融合及杀毒EDR维保服务项目</w:t>
      </w:r>
      <w:r>
        <w:rPr>
          <w:rFonts w:hint="eastAsia"/>
        </w:rPr>
        <w:t>采购项目采购，详见需求部分。</w:t>
      </w:r>
    </w:p>
    <w:p w14:paraId="0F4AB084">
      <w:pPr>
        <w:pStyle w:val="8"/>
        <w:rPr>
          <w:rFonts w:ascii="微软雅黑" w:hAnsi="微软雅黑" w:eastAsia="微软雅黑"/>
        </w:rPr>
      </w:pPr>
      <w:r>
        <w:rPr>
          <w:rFonts w:hint="eastAsia"/>
        </w:rPr>
        <w:t>五、报价人资格要求：</w:t>
      </w:r>
    </w:p>
    <w:p w14:paraId="30AED84E">
      <w:pPr>
        <w:pStyle w:val="8"/>
        <w:rPr>
          <w:rFonts w:ascii="微软雅黑" w:hAnsi="微软雅黑" w:eastAsia="微软雅黑"/>
        </w:rPr>
      </w:pPr>
      <w:r>
        <w:rPr>
          <w:rFonts w:hint="eastAsia"/>
        </w:rPr>
        <w:t>1. 必须是具有独立承担民事责任能力的在中华人民共和国境内注册的法人或其他组织。</w:t>
      </w:r>
    </w:p>
    <w:p w14:paraId="4ED92D07">
      <w:pPr>
        <w:pStyle w:val="8"/>
        <w:rPr>
          <w:rFonts w:ascii="微软雅黑" w:hAnsi="微软雅黑" w:eastAsia="微软雅黑"/>
        </w:rPr>
      </w:pPr>
      <w:r>
        <w:rPr>
          <w:rFonts w:hint="eastAsia"/>
        </w:rPr>
        <w:t>2. 具备《中华人民共和国政府采购法》第二十二条资格条件。</w:t>
      </w:r>
    </w:p>
    <w:p w14:paraId="5F6E0AB5">
      <w:pPr>
        <w:pStyle w:val="8"/>
        <w:rPr>
          <w:rFonts w:ascii="微软雅黑" w:hAnsi="微软雅黑" w:eastAsia="微软雅黑"/>
        </w:rPr>
      </w:pPr>
      <w:r>
        <w:rPr>
          <w:rFonts w:hint="eastAsia"/>
        </w:rPr>
        <w:t>3. 不同的供应商之间有下列情形之一的，不接受作为参与同一采购项目竞争的供应商。</w:t>
      </w:r>
    </w:p>
    <w:p w14:paraId="48438BC5">
      <w:pPr>
        <w:pStyle w:val="8"/>
        <w:rPr>
          <w:rFonts w:ascii="微软雅黑" w:hAnsi="微软雅黑" w:eastAsia="微软雅黑"/>
        </w:rPr>
      </w:pPr>
      <w:r>
        <w:rPr>
          <w:rFonts w:hint="eastAsia"/>
        </w:rPr>
        <w:t>3.1 法定代表人或供应商负责人为同一人或者存在直接控股、管理关系的供应商。</w:t>
      </w:r>
    </w:p>
    <w:p w14:paraId="6C9DD809">
      <w:pPr>
        <w:pStyle w:val="8"/>
        <w:rPr>
          <w:rFonts w:ascii="微软雅黑" w:hAnsi="微软雅黑" w:eastAsia="微软雅黑"/>
        </w:rPr>
      </w:pPr>
      <w:r>
        <w:rPr>
          <w:rFonts w:hint="eastAsia"/>
        </w:rPr>
        <w:t>3.2 为采购项目提供整体设计、规范编制或者项目管理、监理、检测等服务的供应商。</w:t>
      </w:r>
    </w:p>
    <w:p w14:paraId="433DBE10">
      <w:pPr>
        <w:pStyle w:val="8"/>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8"/>
        <w:rPr>
          <w:rFonts w:ascii="微软雅黑" w:hAnsi="微软雅黑" w:eastAsia="微软雅黑"/>
        </w:rPr>
      </w:pPr>
      <w:r>
        <w:rPr>
          <w:rFonts w:hint="eastAsia"/>
        </w:rPr>
        <w:t>4.供应商须无围标、串标行为，</w:t>
      </w:r>
      <w:r>
        <w:rPr>
          <w:rStyle w:val="12"/>
          <w:rFonts w:hint="eastAsia"/>
          <w:color w:val="000000"/>
        </w:rPr>
        <w:t>投标文件提供《无围标串通等违法违规行为承诺书》（承诺书格式自行编制）和提供《廉洁承诺书》(承诺书格式自行编制)。</w:t>
      </w:r>
    </w:p>
    <w:p w14:paraId="6C416BF1">
      <w:pPr>
        <w:pStyle w:val="8"/>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8"/>
        <w:rPr>
          <w:rFonts w:ascii="微软雅黑" w:hAnsi="微软雅黑" w:eastAsia="微软雅黑"/>
        </w:rPr>
      </w:pPr>
      <w:r>
        <w:rPr>
          <w:rStyle w:val="12"/>
          <w:rFonts w:hint="eastAsia"/>
        </w:rPr>
        <w:t>六、报名时间和方式。</w:t>
      </w:r>
      <w:r>
        <w:rPr>
          <w:rFonts w:hint="eastAsia"/>
        </w:rPr>
        <w:t>（本次询价均使用北京时间，24小时制）</w:t>
      </w:r>
    </w:p>
    <w:p w14:paraId="35C6A393">
      <w:pPr>
        <w:pStyle w:val="8"/>
        <w:rPr>
          <w:rFonts w:hint="eastAsia"/>
        </w:rPr>
      </w:pPr>
      <w:r>
        <w:rPr>
          <w:rStyle w:val="12"/>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8月22日</w:t>
      </w:r>
      <w:r>
        <w:rPr>
          <w:rFonts w:hint="eastAsia"/>
          <w:color w:val="auto"/>
        </w:rPr>
        <w:t>至202</w:t>
      </w:r>
      <w:r>
        <w:rPr>
          <w:rFonts w:hint="eastAsia"/>
          <w:color w:val="auto"/>
          <w:lang w:val="en-US" w:eastAsia="zh-CN"/>
        </w:rPr>
        <w:t>5</w:t>
      </w:r>
      <w:r>
        <w:rPr>
          <w:rFonts w:hint="eastAsia"/>
          <w:color w:val="auto"/>
        </w:rPr>
        <w:t>年</w:t>
      </w:r>
      <w:r>
        <w:rPr>
          <w:rFonts w:hint="eastAsia"/>
          <w:color w:val="auto"/>
          <w:lang w:val="en-US" w:eastAsia="zh-CN"/>
        </w:rPr>
        <w:t>8月29日</w:t>
      </w:r>
      <w:r>
        <w:rPr>
          <w:rFonts w:hint="eastAsia"/>
        </w:rPr>
        <w:t>(上午8:30-12:00，下午14:30-17:30分，节假日除外）</w:t>
      </w:r>
    </w:p>
    <w:p w14:paraId="5F6EECE4">
      <w:pPr>
        <w:pStyle w:val="8"/>
        <w:rPr>
          <w:rFonts w:hint="default" w:ascii="微软雅黑" w:hAnsi="微软雅黑" w:eastAsia="宋体"/>
          <w:lang w:val="en-US" w:eastAsia="zh-CN"/>
        </w:rPr>
      </w:pPr>
      <w:r>
        <w:rPr>
          <w:rStyle w:val="12"/>
          <w:rFonts w:hint="eastAsia"/>
        </w:rPr>
        <w:t>报名地点：</w:t>
      </w:r>
      <w:r>
        <w:rPr>
          <w:rFonts w:hint="eastAsia"/>
        </w:rPr>
        <w:t>中山市古镇人民医院</w:t>
      </w:r>
      <w:r>
        <w:rPr>
          <w:rFonts w:hint="eastAsia"/>
          <w:lang w:val="en-US" w:eastAsia="zh-CN"/>
        </w:rPr>
        <w:t>10号楼一楼信息科</w:t>
      </w:r>
    </w:p>
    <w:p w14:paraId="1F4AF3DD">
      <w:pPr>
        <w:pStyle w:val="8"/>
        <w:rPr>
          <w:rFonts w:ascii="微软雅黑" w:hAnsi="微软雅黑" w:eastAsia="微软雅黑"/>
        </w:rPr>
      </w:pPr>
      <w:r>
        <w:rPr>
          <w:rStyle w:val="12"/>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古镇人民医院10号楼信息科</w:t>
      </w:r>
      <w:r>
        <w:rPr>
          <w:rStyle w:val="12"/>
          <w:rFonts w:hint="eastAsia"/>
        </w:rPr>
        <w:t>，以签收时间为准。），不接受电话报名及提交资料。</w:t>
      </w:r>
    </w:p>
    <w:p w14:paraId="0048A7C3">
      <w:pPr>
        <w:pStyle w:val="8"/>
        <w:rPr>
          <w:rFonts w:ascii="微软雅黑" w:hAnsi="微软雅黑" w:eastAsia="微软雅黑"/>
        </w:rPr>
      </w:pPr>
      <w:r>
        <w:rPr>
          <w:rStyle w:val="12"/>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8"/>
        <w:rPr>
          <w:rFonts w:ascii="微软雅黑" w:hAnsi="微软雅黑" w:eastAsia="微软雅黑"/>
        </w:rPr>
      </w:pPr>
      <w:r>
        <w:rPr>
          <w:rFonts w:hint="eastAsia"/>
        </w:rPr>
        <w:t>七、本询价文件规定的时间（本次询价均使用北京时间，24小时制）。</w:t>
      </w:r>
    </w:p>
    <w:p w14:paraId="32A5DC97">
      <w:pPr>
        <w:pStyle w:val="8"/>
        <w:rPr>
          <w:rFonts w:ascii="微软雅黑" w:hAnsi="微软雅黑" w:eastAsia="微软雅黑"/>
        </w:rPr>
      </w:pPr>
      <w:r>
        <w:rPr>
          <w:rFonts w:hint="eastAsia"/>
        </w:rPr>
        <w:t>八、</w:t>
      </w:r>
      <w:r>
        <w:rPr>
          <w:rStyle w:val="12"/>
          <w:rFonts w:hint="eastAsia"/>
        </w:rPr>
        <w:t>递交报价文件截止时间</w:t>
      </w:r>
      <w:r>
        <w:rPr>
          <w:rFonts w:hint="eastAsia"/>
        </w:rPr>
        <w:t>：</w:t>
      </w:r>
      <w:r>
        <w:rPr>
          <w:rStyle w:val="12"/>
          <w:rFonts w:hint="eastAsia"/>
          <w:color w:val="auto"/>
        </w:rPr>
        <w:t>202</w:t>
      </w:r>
      <w:r>
        <w:rPr>
          <w:rStyle w:val="12"/>
          <w:rFonts w:hint="eastAsia"/>
          <w:color w:val="auto"/>
          <w:lang w:val="en-US" w:eastAsia="zh-CN"/>
        </w:rPr>
        <w:t>5</w:t>
      </w:r>
      <w:r>
        <w:rPr>
          <w:rStyle w:val="12"/>
          <w:rFonts w:hint="eastAsia"/>
          <w:color w:val="auto"/>
        </w:rPr>
        <w:t>年</w:t>
      </w:r>
      <w:r>
        <w:rPr>
          <w:rStyle w:val="12"/>
          <w:rFonts w:hint="eastAsia"/>
          <w:color w:val="auto"/>
          <w:lang w:val="en-US" w:eastAsia="zh-CN"/>
        </w:rPr>
        <w:t>8月29日</w:t>
      </w:r>
      <w:r>
        <w:rPr>
          <w:rStyle w:val="12"/>
          <w:rFonts w:hint="eastAsia"/>
          <w:color w:val="auto"/>
        </w:rPr>
        <w:t>上午12:00时（北京时间）</w:t>
      </w:r>
      <w:r>
        <w:rPr>
          <w:rStyle w:val="12"/>
          <w:rFonts w:hint="eastAsia"/>
        </w:rPr>
        <w:t>。</w:t>
      </w:r>
    </w:p>
    <w:p w14:paraId="7F2FBC4B">
      <w:pPr>
        <w:pStyle w:val="8"/>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8月29日</w:t>
      </w:r>
      <w:r>
        <w:rPr>
          <w:rFonts w:hint="eastAsia"/>
        </w:rPr>
        <w:t>下午15:00（北京时间）。</w:t>
      </w:r>
    </w:p>
    <w:p w14:paraId="06EDE9CD">
      <w:pPr>
        <w:pStyle w:val="8"/>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古镇镇东兴中路15号10号楼信息科</w:t>
      </w:r>
    </w:p>
    <w:p w14:paraId="5AA5808E">
      <w:pPr>
        <w:pStyle w:val="8"/>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8"/>
        <w:rPr>
          <w:rFonts w:ascii="微软雅黑" w:hAnsi="微软雅黑" w:eastAsia="微软雅黑"/>
        </w:rPr>
      </w:pPr>
      <w:r>
        <w:rPr>
          <w:rFonts w:hint="eastAsia"/>
        </w:rPr>
        <w:t>十二、采购人联系方式</w:t>
      </w:r>
    </w:p>
    <w:p w14:paraId="0E72699A">
      <w:pPr>
        <w:pStyle w:val="8"/>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10号楼信息科</w:t>
      </w:r>
    </w:p>
    <w:p w14:paraId="6FAEF14F">
      <w:pPr>
        <w:pStyle w:val="8"/>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8"/>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8"/>
        <w:rPr>
          <w:rFonts w:ascii="微软雅黑" w:hAnsi="微软雅黑" w:eastAsia="微软雅黑"/>
        </w:rPr>
      </w:pPr>
      <w:r>
        <w:rPr>
          <w:rFonts w:hint="eastAsia"/>
        </w:rPr>
        <w:t>十三、监督部门：古镇人民医院监察室</w:t>
      </w:r>
    </w:p>
    <w:p w14:paraId="17CF7480">
      <w:pPr>
        <w:pStyle w:val="8"/>
        <w:rPr>
          <w:rFonts w:hint="eastAsia"/>
        </w:rPr>
      </w:pPr>
      <w:r>
        <w:rPr>
          <w:rFonts w:hint="eastAsia"/>
        </w:rPr>
        <w:t>联系电话：0760-22329962</w:t>
      </w:r>
    </w:p>
    <w:p w14:paraId="63D3EEE9">
      <w:pPr>
        <w:pStyle w:val="8"/>
        <w:rPr>
          <w:rStyle w:val="12"/>
          <w:rFonts w:hint="eastAsia"/>
          <w:sz w:val="28"/>
          <w:szCs w:val="28"/>
        </w:rPr>
      </w:pPr>
      <w:r>
        <w:rPr>
          <w:rStyle w:val="12"/>
          <w:rFonts w:hint="eastAsia"/>
          <w:sz w:val="28"/>
          <w:szCs w:val="28"/>
        </w:rPr>
        <w:t>用户需求</w:t>
      </w:r>
    </w:p>
    <w:p w14:paraId="7D1825A2">
      <w:pPr>
        <w:pStyle w:val="8"/>
        <w:rPr>
          <w:rFonts w:hint="eastAsia"/>
          <w:b/>
          <w:bCs/>
        </w:rPr>
      </w:pPr>
      <w:r>
        <w:rPr>
          <w:rFonts w:hint="eastAsia"/>
          <w:b/>
          <w:bCs/>
          <w:lang w:val="en-US" w:eastAsia="zh-CN"/>
        </w:rPr>
        <w:t>1、终端杀毒和超融合产品</w:t>
      </w:r>
      <w:r>
        <w:rPr>
          <w:rFonts w:hint="default"/>
          <w:b/>
          <w:bCs/>
          <w:lang w:val="en-US" w:eastAsia="zh-CN"/>
        </w:rPr>
        <w:t xml:space="preserve">远程产品咨询服务 </w:t>
      </w:r>
    </w:p>
    <w:p w14:paraId="27575CC0">
      <w:pPr>
        <w:pStyle w:val="8"/>
        <w:rPr>
          <w:rFonts w:hint="eastAsia"/>
        </w:rPr>
      </w:pPr>
      <w:r>
        <w:rPr>
          <w:rFonts w:hint="default"/>
          <w:lang w:val="en-US" w:eastAsia="zh-CN"/>
        </w:rPr>
        <w:t>通过服务热线以及乙方各地服务中心的电话、传真、邮件、邮寄等远程方式，为甲方提供有关产品的技术咨询服务，随时解答甲方在使用产品过程中遇到的问题，确保甲方能够高效、准确地获取产品相关信息，保障产品的正常使用和操作</w:t>
      </w:r>
      <w:r>
        <w:rPr>
          <w:rFonts w:hint="eastAsia"/>
          <w:lang w:val="en-US" w:eastAsia="zh-CN"/>
        </w:rPr>
        <w:t>；</w:t>
      </w:r>
    </w:p>
    <w:p w14:paraId="314534DA">
      <w:pPr>
        <w:pStyle w:val="8"/>
        <w:rPr>
          <w:rFonts w:hint="eastAsia"/>
          <w:b/>
          <w:bCs/>
        </w:rPr>
      </w:pPr>
      <w:r>
        <w:rPr>
          <w:rFonts w:hint="eastAsia"/>
          <w:b/>
          <w:bCs/>
          <w:lang w:val="en-US" w:eastAsia="zh-CN"/>
        </w:rPr>
        <w:t>2、终端杀毒和超融合产品</w:t>
      </w:r>
      <w:r>
        <w:rPr>
          <w:rFonts w:hint="default"/>
          <w:b/>
          <w:bCs/>
          <w:lang w:val="en-US" w:eastAsia="zh-CN"/>
        </w:rPr>
        <w:t xml:space="preserve">现场支持服务 </w:t>
      </w:r>
    </w:p>
    <w:p w14:paraId="22F475C0">
      <w:pPr>
        <w:pStyle w:val="8"/>
        <w:rPr>
          <w:rFonts w:hint="default"/>
          <w:lang w:val="en-US" w:eastAsia="zh-CN"/>
        </w:rPr>
      </w:pPr>
      <w:r>
        <w:rPr>
          <w:rFonts w:hint="default"/>
          <w:lang w:val="en-US" w:eastAsia="zh-CN"/>
        </w:rPr>
        <w:t>在服务期限内</w:t>
      </w:r>
      <w:r>
        <w:rPr>
          <w:rFonts w:hint="eastAsia"/>
          <w:lang w:val="en-US" w:eastAsia="zh-CN"/>
        </w:rPr>
        <w:t>（1年）</w:t>
      </w:r>
      <w:r>
        <w:rPr>
          <w:rFonts w:hint="default"/>
          <w:lang w:val="en-US" w:eastAsia="zh-CN"/>
        </w:rPr>
        <w:t>，若甲方遇到复杂问题或紧急故障，乙方将及时派遣专业的技术人员前往甲方现场，提供现场技术支持和解决方案，以尽快恢复产品的正常运行，最大限度地减少对甲方业务的影响，保障甲方业务的连续性和稳定性。</w:t>
      </w:r>
    </w:p>
    <w:p w14:paraId="6626FEB6">
      <w:pPr>
        <w:pStyle w:val="8"/>
        <w:rPr>
          <w:rFonts w:hint="default"/>
          <w:lang w:val="en-US" w:eastAsia="zh-CN"/>
        </w:rPr>
      </w:pPr>
    </w:p>
    <w:p w14:paraId="23C9E093">
      <w:pPr>
        <w:pStyle w:val="8"/>
        <w:rPr>
          <w:rFonts w:hint="default"/>
          <w:b/>
          <w:bCs/>
          <w:lang w:val="en-US" w:eastAsia="zh-CN"/>
        </w:rPr>
      </w:pPr>
      <w:r>
        <w:rPr>
          <w:rFonts w:hint="eastAsia"/>
          <w:b/>
          <w:bCs/>
          <w:lang w:val="en-US" w:eastAsia="zh-CN"/>
        </w:rPr>
        <w:t>3、超融合</w:t>
      </w:r>
      <w:r>
        <w:rPr>
          <w:rFonts w:hint="default"/>
          <w:b/>
          <w:bCs/>
          <w:lang w:val="en-US" w:eastAsia="zh-CN"/>
        </w:rPr>
        <w:t>软件</w:t>
      </w:r>
      <w:r>
        <w:rPr>
          <w:rFonts w:hint="eastAsia"/>
          <w:b/>
          <w:bCs/>
          <w:lang w:val="en-US" w:eastAsia="zh-CN"/>
        </w:rPr>
        <w:t>产品</w:t>
      </w:r>
      <w:r>
        <w:rPr>
          <w:rFonts w:hint="default"/>
          <w:b/>
          <w:bCs/>
          <w:lang w:val="en-US" w:eastAsia="zh-CN"/>
        </w:rPr>
        <w:t xml:space="preserve">维护服务 </w:t>
      </w:r>
    </w:p>
    <w:p w14:paraId="365B4554">
      <w:pPr>
        <w:pStyle w:val="8"/>
        <w:rPr>
          <w:rFonts w:hint="eastAsia"/>
        </w:rPr>
      </w:pPr>
      <w:r>
        <w:rPr>
          <w:rFonts w:hint="default"/>
          <w:lang w:val="en-US" w:eastAsia="zh-CN"/>
        </w:rPr>
        <w:t>涵盖</w:t>
      </w:r>
      <w:r>
        <w:rPr>
          <w:rFonts w:hint="eastAsia"/>
          <w:lang w:val="en-US" w:eastAsia="zh-CN"/>
        </w:rPr>
        <w:t>超融合软件</w:t>
      </w:r>
      <w:r>
        <w:rPr>
          <w:rFonts w:hint="default"/>
          <w:lang w:val="en-US" w:eastAsia="zh-CN"/>
        </w:rPr>
        <w:t>版本的故障排除、版本维护、故障修复、补丁更新以及超融合软件基础服务。乙方将密切关注软件的运行状态，及时发现并解决可能出现的各类问题，确保软件系统的稳定性和可靠性，同时根据需要为甲方提供必要的技术支持和指导，帮助甲方充分利用软件的各项功能，提升工作效率和业务效益。</w:t>
      </w:r>
    </w:p>
    <w:p w14:paraId="233F3162">
      <w:pPr>
        <w:pStyle w:val="8"/>
        <w:rPr>
          <w:rFonts w:hint="default"/>
          <w:b/>
          <w:bCs/>
          <w:lang w:val="en-US" w:eastAsia="zh-CN"/>
        </w:rPr>
      </w:pPr>
      <w:r>
        <w:rPr>
          <w:rFonts w:hint="eastAsia"/>
          <w:b/>
          <w:bCs/>
          <w:lang w:val="en-US" w:eastAsia="zh-CN"/>
        </w:rPr>
        <w:t>4、</w:t>
      </w:r>
      <w:r>
        <w:rPr>
          <w:rFonts w:hint="default"/>
          <w:b/>
          <w:bCs/>
          <w:lang w:val="en-US" w:eastAsia="zh-CN"/>
        </w:rPr>
        <w:t>硬件</w:t>
      </w:r>
      <w:r>
        <w:rPr>
          <w:rFonts w:hint="eastAsia"/>
          <w:b/>
          <w:bCs/>
          <w:lang w:val="en-US" w:eastAsia="zh-CN"/>
        </w:rPr>
        <w:t>产品维保</w:t>
      </w:r>
      <w:r>
        <w:rPr>
          <w:rFonts w:hint="default"/>
          <w:b/>
          <w:bCs/>
          <w:lang w:val="en-US" w:eastAsia="zh-CN"/>
        </w:rPr>
        <w:t>服务 ：</w:t>
      </w:r>
    </w:p>
    <w:p w14:paraId="32DEE5B4">
      <w:pPr>
        <w:pStyle w:val="8"/>
        <w:rPr>
          <w:rFonts w:hint="default"/>
          <w:lang w:val="en-US" w:eastAsia="zh-CN"/>
        </w:rPr>
      </w:pPr>
      <w:r>
        <w:rPr>
          <w:rFonts w:hint="default"/>
          <w:lang w:val="en-US" w:eastAsia="zh-CN"/>
        </w:rPr>
        <w:t>针对甲方的硬件产品，乙方提供全面的</w:t>
      </w:r>
      <w:r>
        <w:rPr>
          <w:rFonts w:hint="eastAsia"/>
          <w:lang w:val="en-US" w:eastAsia="zh-CN"/>
        </w:rPr>
        <w:t>维保</w:t>
      </w:r>
      <w:r>
        <w:rPr>
          <w:rFonts w:hint="default"/>
          <w:lang w:val="en-US" w:eastAsia="zh-CN"/>
        </w:rPr>
        <w:t>服务</w:t>
      </w:r>
      <w:r>
        <w:rPr>
          <w:rFonts w:hint="eastAsia"/>
          <w:lang w:val="en-US" w:eastAsia="zh-CN"/>
        </w:rPr>
        <w:t>（包含</w:t>
      </w:r>
      <w:r>
        <w:rPr>
          <w:rFonts w:hint="eastAsia"/>
        </w:rPr>
        <w:t>服务器主机、电源、风扇、硬盘、RAID卡、内存、CPU等核心组件</w:t>
      </w:r>
      <w:r>
        <w:rPr>
          <w:rFonts w:hint="eastAsia"/>
          <w:lang w:val="en-US" w:eastAsia="zh-CN"/>
        </w:rPr>
        <w:t>坏件更换）</w:t>
      </w:r>
      <w:r>
        <w:rPr>
          <w:rFonts w:hint="default"/>
          <w:lang w:val="en-US" w:eastAsia="zh-CN"/>
        </w:rPr>
        <w:t>。在产品出现故障时，乙方将迅速响应，对故障进行诊断和修复，确保硬件设备能够尽快恢复正常运行。对于无法现场修复的硬件故障，乙方将提供返厂维修等相应的解决方案，并负责协调物流等相关事宜，尽量缩短硬件设备的维修周期，减少对甲方业务的干扰。</w:t>
      </w:r>
    </w:p>
    <w:p w14:paraId="6D0CC5AB">
      <w:pPr>
        <w:pStyle w:val="8"/>
        <w:rPr>
          <w:rFonts w:hint="default"/>
          <w:b/>
          <w:bCs/>
          <w:lang w:val="en-US" w:eastAsia="zh-CN"/>
        </w:rPr>
      </w:pPr>
      <w:r>
        <w:rPr>
          <w:rFonts w:hint="eastAsia"/>
          <w:b/>
          <w:bCs/>
          <w:lang w:val="en-US" w:eastAsia="zh-CN"/>
        </w:rPr>
        <w:t>5、超融合软件</w:t>
      </w:r>
      <w:r>
        <w:rPr>
          <w:rFonts w:hint="default"/>
          <w:b/>
          <w:bCs/>
          <w:lang w:val="en-US" w:eastAsia="zh-CN"/>
        </w:rPr>
        <w:t>原厂服务承诺函服务 ：</w:t>
      </w:r>
    </w:p>
    <w:p w14:paraId="1EFB4218">
      <w:pPr>
        <w:pStyle w:val="8"/>
      </w:pPr>
      <w:r>
        <w:rPr>
          <w:rFonts w:hint="default"/>
          <w:lang w:val="en-US" w:eastAsia="zh-CN"/>
        </w:rPr>
        <w:t>乙方还需提供现有产品的原厂服务承诺函，以进一步明确乙方对甲方所提供的服务质量和服务范围的承诺，为甲方提供更全面、更可靠的保障，确保甲方在使用乙方产品和服务的过程中能够获得优质的体验和满意的服务</w:t>
      </w:r>
    </w:p>
    <w:p w14:paraId="48215D2F">
      <w:pPr>
        <w:numPr>
          <w:ilvl w:val="0"/>
          <w:numId w:val="0"/>
        </w:numPr>
        <w:spacing w:line="240" w:lineRule="atLeast"/>
        <w:ind w:leftChars="0"/>
        <w:rPr>
          <w:rFonts w:hint="default" w:ascii="宋体" w:eastAsia="黑体"/>
          <w:szCs w:val="21"/>
          <w:lang w:val="en-US" w:eastAsia="zh-CN"/>
        </w:rPr>
      </w:pPr>
      <w:r>
        <w:rPr>
          <w:rFonts w:hint="eastAsia" w:ascii="宋体" w:eastAsia="黑体"/>
          <w:szCs w:val="21"/>
          <w:lang w:val="en-US" w:eastAsia="zh-CN"/>
        </w:rPr>
        <w:t>6、服务清单如下：</w:t>
      </w:r>
    </w:p>
    <w:tbl>
      <w:tblPr>
        <w:tblStyle w:val="9"/>
        <w:tblpPr w:leftFromText="180" w:rightFromText="180" w:vertAnchor="text" w:horzAnchor="page" w:tblpXSpec="center" w:tblpY="25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910"/>
        <w:gridCol w:w="1250"/>
        <w:gridCol w:w="4961"/>
        <w:gridCol w:w="475"/>
        <w:gridCol w:w="463"/>
      </w:tblGrid>
      <w:tr w14:paraId="7E3F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0" w:type="auto"/>
            <w:tcBorders>
              <w:tl2br w:val="nil"/>
              <w:tr2bl w:val="nil"/>
            </w:tcBorders>
            <w:shd w:val="clear" w:color="000000" w:fill="C0C0C0"/>
            <w:noWrap w:val="0"/>
            <w:vAlign w:val="center"/>
          </w:tcPr>
          <w:p w14:paraId="74284669">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0" w:type="auto"/>
            <w:tcBorders>
              <w:tl2br w:val="nil"/>
              <w:tr2bl w:val="nil"/>
            </w:tcBorders>
            <w:shd w:val="clear" w:color="000000" w:fill="C0C0C0"/>
            <w:noWrap w:val="0"/>
            <w:vAlign w:val="center"/>
          </w:tcPr>
          <w:p w14:paraId="1E0F4555">
            <w:pPr>
              <w:widowControl/>
              <w:jc w:val="center"/>
              <w:rPr>
                <w:rFonts w:ascii="宋体" w:hAnsi="宋体" w:cs="宋体"/>
                <w:b/>
                <w:bCs/>
                <w:kern w:val="0"/>
                <w:sz w:val="18"/>
                <w:szCs w:val="18"/>
              </w:rPr>
            </w:pPr>
            <w:r>
              <w:rPr>
                <w:rFonts w:hint="eastAsia" w:ascii="宋体" w:hAnsi="宋体" w:cs="宋体"/>
                <w:b/>
                <w:bCs/>
                <w:kern w:val="0"/>
                <w:sz w:val="18"/>
                <w:szCs w:val="18"/>
              </w:rPr>
              <w:t>维保设备/项目名称</w:t>
            </w:r>
          </w:p>
        </w:tc>
        <w:tc>
          <w:tcPr>
            <w:tcW w:w="0" w:type="auto"/>
            <w:tcBorders>
              <w:tl2br w:val="nil"/>
              <w:tr2bl w:val="nil"/>
            </w:tcBorders>
            <w:shd w:val="clear" w:color="000000" w:fill="C0C0C0"/>
            <w:noWrap w:val="0"/>
            <w:vAlign w:val="center"/>
          </w:tcPr>
          <w:p w14:paraId="21D1F036">
            <w:pPr>
              <w:widowControl/>
              <w:jc w:val="center"/>
              <w:rPr>
                <w:rFonts w:ascii="宋体" w:hAnsi="宋体" w:cs="宋体"/>
                <w:b/>
                <w:bCs/>
                <w:kern w:val="0"/>
                <w:sz w:val="18"/>
                <w:szCs w:val="18"/>
              </w:rPr>
            </w:pPr>
            <w:r>
              <w:rPr>
                <w:rFonts w:hint="eastAsia" w:ascii="宋体" w:hAnsi="宋体" w:cs="宋体"/>
                <w:b/>
                <w:bCs/>
                <w:kern w:val="0"/>
                <w:sz w:val="18"/>
                <w:szCs w:val="18"/>
              </w:rPr>
              <w:t>品牌型号/服务内容</w:t>
            </w:r>
          </w:p>
        </w:tc>
        <w:tc>
          <w:tcPr>
            <w:tcW w:w="0" w:type="auto"/>
            <w:tcBorders>
              <w:tl2br w:val="nil"/>
              <w:tr2bl w:val="nil"/>
            </w:tcBorders>
            <w:shd w:val="clear" w:color="000000" w:fill="C0C0C0"/>
            <w:noWrap w:val="0"/>
            <w:vAlign w:val="center"/>
          </w:tcPr>
          <w:p w14:paraId="1F6192C6">
            <w:pPr>
              <w:widowControl/>
              <w:jc w:val="center"/>
              <w:rPr>
                <w:rFonts w:ascii="宋体" w:hAnsi="宋体" w:cs="宋体"/>
                <w:b/>
                <w:bCs/>
                <w:kern w:val="0"/>
                <w:sz w:val="18"/>
                <w:szCs w:val="18"/>
              </w:rPr>
            </w:pPr>
            <w:r>
              <w:rPr>
                <w:rFonts w:hint="eastAsia" w:ascii="宋体" w:hAnsi="宋体" w:cs="宋体"/>
                <w:b/>
                <w:bCs/>
                <w:kern w:val="0"/>
                <w:sz w:val="18"/>
                <w:szCs w:val="18"/>
              </w:rPr>
              <w:t>维保设备详细描述</w:t>
            </w:r>
          </w:p>
        </w:tc>
        <w:tc>
          <w:tcPr>
            <w:tcW w:w="0" w:type="auto"/>
            <w:tcBorders>
              <w:tl2br w:val="nil"/>
              <w:tr2bl w:val="nil"/>
            </w:tcBorders>
            <w:shd w:val="clear" w:color="000000" w:fill="C0C0C0"/>
            <w:noWrap w:val="0"/>
            <w:vAlign w:val="center"/>
          </w:tcPr>
          <w:p w14:paraId="5C89210A">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0" w:type="auto"/>
            <w:tcBorders>
              <w:tl2br w:val="nil"/>
              <w:tr2bl w:val="nil"/>
            </w:tcBorders>
            <w:shd w:val="clear" w:color="000000" w:fill="C0C0C0"/>
            <w:noWrap w:val="0"/>
            <w:vAlign w:val="center"/>
          </w:tcPr>
          <w:p w14:paraId="4EFA5045">
            <w:pPr>
              <w:widowControl/>
              <w:jc w:val="center"/>
              <w:rPr>
                <w:rFonts w:ascii="宋体" w:hAnsi="宋体" w:cs="宋体"/>
                <w:b/>
                <w:bCs/>
                <w:kern w:val="0"/>
                <w:sz w:val="18"/>
                <w:szCs w:val="18"/>
              </w:rPr>
            </w:pPr>
            <w:r>
              <w:rPr>
                <w:rFonts w:hint="eastAsia" w:ascii="宋体" w:hAnsi="宋体" w:cs="宋体"/>
                <w:b/>
                <w:bCs/>
                <w:kern w:val="0"/>
                <w:sz w:val="18"/>
                <w:szCs w:val="18"/>
              </w:rPr>
              <w:t>数量</w:t>
            </w:r>
          </w:p>
        </w:tc>
      </w:tr>
      <w:tr w14:paraId="12D1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0" w:type="auto"/>
            <w:tcBorders>
              <w:tl2br w:val="nil"/>
              <w:tr2bl w:val="nil"/>
            </w:tcBorders>
            <w:noWrap w:val="0"/>
            <w:vAlign w:val="center"/>
          </w:tcPr>
          <w:p w14:paraId="5FB39D7D">
            <w:pPr>
              <w:widowControl/>
              <w:jc w:val="center"/>
              <w:rPr>
                <w:rFonts w:ascii="宋体" w:hAnsi="宋体" w:cs="宋体"/>
                <w:kern w:val="0"/>
                <w:sz w:val="20"/>
              </w:rPr>
            </w:pPr>
            <w:r>
              <w:rPr>
                <w:rFonts w:hint="eastAsia" w:ascii="宋体" w:hAnsi="宋体" w:cs="宋体"/>
                <w:kern w:val="0"/>
                <w:sz w:val="20"/>
              </w:rPr>
              <w:t>1</w:t>
            </w:r>
          </w:p>
        </w:tc>
        <w:tc>
          <w:tcPr>
            <w:tcW w:w="0" w:type="auto"/>
            <w:tcBorders>
              <w:tl2br w:val="nil"/>
              <w:tr2bl w:val="nil"/>
            </w:tcBorders>
            <w:noWrap w:val="0"/>
            <w:vAlign w:val="center"/>
          </w:tcPr>
          <w:p w14:paraId="6AF83815">
            <w:pPr>
              <w:widowControl/>
              <w:jc w:val="center"/>
              <w:rPr>
                <w:rFonts w:ascii="宋体" w:hAnsi="宋体" w:cs="宋体"/>
                <w:kern w:val="0"/>
                <w:sz w:val="20"/>
              </w:rPr>
            </w:pPr>
            <w:r>
              <w:rPr>
                <w:rFonts w:hint="eastAsia" w:ascii="宋体" w:hAnsi="宋体" w:cs="宋体"/>
                <w:kern w:val="0"/>
                <w:sz w:val="20"/>
              </w:rPr>
              <w:t>服务器</w:t>
            </w:r>
          </w:p>
        </w:tc>
        <w:tc>
          <w:tcPr>
            <w:tcW w:w="0" w:type="auto"/>
            <w:tcBorders>
              <w:tl2br w:val="nil"/>
              <w:tr2bl w:val="nil"/>
            </w:tcBorders>
            <w:noWrap w:val="0"/>
            <w:vAlign w:val="center"/>
          </w:tcPr>
          <w:p w14:paraId="30EDE368">
            <w:pPr>
              <w:widowControl/>
              <w:jc w:val="center"/>
              <w:rPr>
                <w:rFonts w:hint="eastAsia" w:ascii="宋体" w:hAnsi="宋体" w:cs="宋体"/>
                <w:kern w:val="0"/>
                <w:sz w:val="20"/>
              </w:rPr>
            </w:pPr>
            <w:r>
              <w:rPr>
                <w:rFonts w:hint="eastAsia" w:ascii="宋体" w:hAnsi="宋体" w:cs="宋体"/>
                <w:kern w:val="0"/>
                <w:sz w:val="20"/>
              </w:rPr>
              <w:t>天融信超融合管</w:t>
            </w:r>
          </w:p>
          <w:p w14:paraId="103120E8">
            <w:pPr>
              <w:widowControl/>
              <w:jc w:val="center"/>
              <w:rPr>
                <w:rFonts w:hint="eastAsia" w:ascii="宋体" w:hAnsi="宋体" w:eastAsia="宋体" w:cs="宋体"/>
                <w:kern w:val="0"/>
                <w:sz w:val="20"/>
                <w:lang w:eastAsia="zh-CN"/>
              </w:rPr>
            </w:pPr>
            <w:r>
              <w:rPr>
                <w:rFonts w:hint="eastAsia" w:ascii="宋体" w:hAnsi="宋体" w:cs="宋体"/>
                <w:kern w:val="0"/>
                <w:sz w:val="20"/>
              </w:rPr>
              <w:t>理系统V3</w:t>
            </w:r>
          </w:p>
        </w:tc>
        <w:tc>
          <w:tcPr>
            <w:tcW w:w="0" w:type="auto"/>
            <w:tcBorders>
              <w:tl2br w:val="nil"/>
              <w:tr2bl w:val="nil"/>
            </w:tcBorders>
            <w:noWrap w:val="0"/>
            <w:vAlign w:val="center"/>
          </w:tcPr>
          <w:p w14:paraId="5BBE5D3E">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CPU:Intel Gold 5117处理器*2颗</w:t>
            </w:r>
          </w:p>
          <w:p w14:paraId="40C7BC6A">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内存：256GB(8*32GB)，标配DDR4</w:t>
            </w:r>
          </w:p>
          <w:p w14:paraId="4B01577F">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后置系统:1*256GB SSD</w:t>
            </w:r>
          </w:p>
          <w:p w14:paraId="742265B4">
            <w:pPr>
              <w:widowControl/>
              <w:jc w:val="left"/>
              <w:rPr>
                <w:rFonts w:hint="eastAsia" w:ascii="宋体" w:hAnsi="宋体" w:eastAsia="宋体" w:cs="宋体"/>
                <w:kern w:val="0"/>
                <w:sz w:val="20"/>
                <w:lang w:val="en-US" w:eastAsia="zh-CN"/>
              </w:rPr>
            </w:pPr>
            <w:r>
              <w:rPr>
                <w:rFonts w:hint="eastAsia" w:ascii="宋体" w:hAnsi="宋体" w:cs="宋体"/>
                <w:kern w:val="0"/>
                <w:sz w:val="20"/>
                <w:lang w:val="en-US" w:eastAsia="zh-CN"/>
              </w:rPr>
              <w:t>电源：800W冗余电源，硬盘：2块3.5寸8TB 7200转SATA硬盘/企业级，2块512GB SSD固态硬盘 SATA接囗 2.5寸</w:t>
            </w:r>
          </w:p>
        </w:tc>
        <w:tc>
          <w:tcPr>
            <w:tcW w:w="0" w:type="auto"/>
            <w:tcBorders>
              <w:tl2br w:val="nil"/>
              <w:tr2bl w:val="nil"/>
            </w:tcBorders>
            <w:noWrap w:val="0"/>
            <w:vAlign w:val="center"/>
          </w:tcPr>
          <w:p w14:paraId="55E8874A">
            <w:pPr>
              <w:widowControl/>
              <w:jc w:val="center"/>
              <w:rPr>
                <w:rFonts w:ascii="宋体" w:hAnsi="宋体" w:cs="宋体"/>
                <w:kern w:val="0"/>
                <w:sz w:val="20"/>
              </w:rPr>
            </w:pPr>
            <w:r>
              <w:rPr>
                <w:rFonts w:hint="eastAsia" w:ascii="宋体" w:hAnsi="宋体" w:cs="宋体"/>
                <w:kern w:val="0"/>
                <w:sz w:val="20"/>
              </w:rPr>
              <w:t>台</w:t>
            </w:r>
          </w:p>
        </w:tc>
        <w:tc>
          <w:tcPr>
            <w:tcW w:w="0" w:type="auto"/>
            <w:tcBorders>
              <w:tl2br w:val="nil"/>
              <w:tr2bl w:val="nil"/>
            </w:tcBorders>
            <w:noWrap w:val="0"/>
            <w:vAlign w:val="center"/>
          </w:tcPr>
          <w:p w14:paraId="2790259D">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1</w:t>
            </w:r>
          </w:p>
        </w:tc>
      </w:tr>
      <w:tr w14:paraId="69FB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0" w:type="auto"/>
            <w:tcBorders>
              <w:tl2br w:val="nil"/>
              <w:tr2bl w:val="nil"/>
            </w:tcBorders>
            <w:noWrap w:val="0"/>
            <w:vAlign w:val="center"/>
          </w:tcPr>
          <w:p w14:paraId="01DF1226">
            <w:pPr>
              <w:widowControl/>
              <w:jc w:val="center"/>
              <w:rPr>
                <w:rFonts w:ascii="宋体" w:hAnsi="宋体" w:cs="宋体"/>
                <w:kern w:val="0"/>
                <w:sz w:val="20"/>
              </w:rPr>
            </w:pPr>
            <w:r>
              <w:rPr>
                <w:rFonts w:hint="eastAsia" w:ascii="宋体" w:hAnsi="宋体" w:cs="宋体"/>
                <w:kern w:val="0"/>
                <w:sz w:val="20"/>
              </w:rPr>
              <w:t>2</w:t>
            </w:r>
          </w:p>
        </w:tc>
        <w:tc>
          <w:tcPr>
            <w:tcW w:w="0" w:type="auto"/>
            <w:tcBorders>
              <w:tl2br w:val="nil"/>
              <w:tr2bl w:val="nil"/>
            </w:tcBorders>
            <w:noWrap w:val="0"/>
            <w:vAlign w:val="center"/>
          </w:tcPr>
          <w:p w14:paraId="7EF4B62F">
            <w:pPr>
              <w:widowControl/>
              <w:jc w:val="center"/>
              <w:rPr>
                <w:rFonts w:ascii="宋体" w:hAnsi="宋体" w:cs="宋体"/>
                <w:kern w:val="0"/>
                <w:sz w:val="20"/>
              </w:rPr>
            </w:pPr>
            <w:r>
              <w:rPr>
                <w:rFonts w:hint="eastAsia" w:ascii="宋体" w:hAnsi="宋体" w:cs="宋体"/>
                <w:kern w:val="0"/>
                <w:sz w:val="20"/>
              </w:rPr>
              <w:t>服务器</w:t>
            </w:r>
          </w:p>
        </w:tc>
        <w:tc>
          <w:tcPr>
            <w:tcW w:w="0" w:type="auto"/>
            <w:tcBorders>
              <w:tl2br w:val="nil"/>
              <w:tr2bl w:val="nil"/>
            </w:tcBorders>
            <w:noWrap w:val="0"/>
            <w:vAlign w:val="center"/>
          </w:tcPr>
          <w:p w14:paraId="5723AB77">
            <w:pPr>
              <w:widowControl/>
              <w:jc w:val="center"/>
              <w:rPr>
                <w:rFonts w:hint="eastAsia" w:ascii="宋体" w:hAnsi="宋体" w:cs="宋体"/>
                <w:kern w:val="0"/>
                <w:sz w:val="20"/>
              </w:rPr>
            </w:pPr>
            <w:r>
              <w:rPr>
                <w:rFonts w:hint="eastAsia" w:ascii="宋体" w:hAnsi="宋体" w:cs="宋体"/>
                <w:kern w:val="0"/>
                <w:sz w:val="20"/>
              </w:rPr>
              <w:t>天融信超融合管</w:t>
            </w:r>
          </w:p>
          <w:p w14:paraId="13C88452">
            <w:pPr>
              <w:widowControl/>
              <w:jc w:val="center"/>
              <w:rPr>
                <w:rFonts w:ascii="宋体" w:hAnsi="宋体" w:cs="宋体"/>
                <w:kern w:val="0"/>
                <w:sz w:val="20"/>
              </w:rPr>
            </w:pPr>
            <w:r>
              <w:rPr>
                <w:rFonts w:hint="eastAsia" w:ascii="宋体" w:hAnsi="宋体" w:cs="宋体"/>
                <w:kern w:val="0"/>
                <w:sz w:val="20"/>
              </w:rPr>
              <w:t>理系统V3</w:t>
            </w:r>
          </w:p>
        </w:tc>
        <w:tc>
          <w:tcPr>
            <w:tcW w:w="0" w:type="auto"/>
            <w:tcBorders>
              <w:tl2br w:val="nil"/>
              <w:tr2bl w:val="nil"/>
            </w:tcBorders>
            <w:noWrap w:val="0"/>
            <w:vAlign w:val="center"/>
          </w:tcPr>
          <w:p w14:paraId="3A8E429E">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CPU:Intel Gold 5117处理器*2颗</w:t>
            </w:r>
          </w:p>
          <w:p w14:paraId="0C5FAFD5">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内存：256GB(8*32GB)，标配DDR4</w:t>
            </w:r>
          </w:p>
          <w:p w14:paraId="31039867">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后置系统:1*256GB SSD</w:t>
            </w:r>
          </w:p>
          <w:p w14:paraId="13107FD6">
            <w:pPr>
              <w:widowControl/>
              <w:jc w:val="left"/>
              <w:rPr>
                <w:rFonts w:ascii="宋体" w:hAnsi="宋体" w:cs="宋体"/>
                <w:kern w:val="0"/>
                <w:sz w:val="20"/>
              </w:rPr>
            </w:pPr>
            <w:r>
              <w:rPr>
                <w:rFonts w:hint="eastAsia" w:ascii="宋体" w:hAnsi="宋体" w:cs="宋体"/>
                <w:kern w:val="0"/>
                <w:sz w:val="20"/>
                <w:lang w:val="en-US" w:eastAsia="zh-CN"/>
              </w:rPr>
              <w:t>电源：800W冗余电源，硬盘：2块3.5寸8TB 7200转SATA硬盘/企业级，2块512GB SSD固态硬盘 SATA接囗 2.5寸</w:t>
            </w:r>
          </w:p>
        </w:tc>
        <w:tc>
          <w:tcPr>
            <w:tcW w:w="0" w:type="auto"/>
            <w:tcBorders>
              <w:tl2br w:val="nil"/>
              <w:tr2bl w:val="nil"/>
            </w:tcBorders>
            <w:noWrap w:val="0"/>
            <w:vAlign w:val="center"/>
          </w:tcPr>
          <w:p w14:paraId="53999825">
            <w:pPr>
              <w:widowControl/>
              <w:jc w:val="center"/>
              <w:rPr>
                <w:rFonts w:ascii="宋体" w:hAnsi="宋体" w:cs="宋体"/>
                <w:kern w:val="0"/>
                <w:sz w:val="20"/>
              </w:rPr>
            </w:pPr>
            <w:r>
              <w:rPr>
                <w:rFonts w:hint="eastAsia" w:ascii="宋体" w:hAnsi="宋体" w:cs="宋体"/>
                <w:kern w:val="0"/>
                <w:sz w:val="20"/>
              </w:rPr>
              <w:t>台</w:t>
            </w:r>
          </w:p>
        </w:tc>
        <w:tc>
          <w:tcPr>
            <w:tcW w:w="0" w:type="auto"/>
            <w:tcBorders>
              <w:tl2br w:val="nil"/>
              <w:tr2bl w:val="nil"/>
            </w:tcBorders>
            <w:noWrap w:val="0"/>
            <w:vAlign w:val="center"/>
          </w:tcPr>
          <w:p w14:paraId="7B3CBD72">
            <w:pPr>
              <w:widowControl/>
              <w:jc w:val="center"/>
              <w:rPr>
                <w:rFonts w:hint="eastAsia" w:ascii="宋体" w:hAnsi="宋体" w:eastAsia="宋体" w:cs="宋体"/>
                <w:kern w:val="0"/>
                <w:sz w:val="20"/>
                <w:lang w:eastAsia="zh-CN"/>
              </w:rPr>
            </w:pPr>
            <w:r>
              <w:rPr>
                <w:rFonts w:hint="eastAsia" w:ascii="宋体" w:hAnsi="宋体" w:cs="宋体"/>
                <w:kern w:val="0"/>
                <w:sz w:val="20"/>
                <w:lang w:val="en-US" w:eastAsia="zh-CN"/>
              </w:rPr>
              <w:t>1</w:t>
            </w:r>
          </w:p>
        </w:tc>
      </w:tr>
      <w:tr w14:paraId="2A15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0" w:type="auto"/>
            <w:tcBorders>
              <w:tl2br w:val="nil"/>
              <w:tr2bl w:val="nil"/>
            </w:tcBorders>
            <w:noWrap w:val="0"/>
            <w:vAlign w:val="center"/>
          </w:tcPr>
          <w:p w14:paraId="7D9E6E3A">
            <w:pPr>
              <w:widowControl/>
              <w:jc w:val="center"/>
              <w:rPr>
                <w:rFonts w:ascii="宋体" w:hAnsi="宋体" w:cs="宋体"/>
                <w:kern w:val="0"/>
                <w:sz w:val="20"/>
              </w:rPr>
            </w:pPr>
            <w:r>
              <w:rPr>
                <w:rFonts w:hint="eastAsia" w:ascii="宋体" w:hAnsi="宋体" w:cs="宋体"/>
                <w:kern w:val="0"/>
                <w:sz w:val="20"/>
              </w:rPr>
              <w:t>3</w:t>
            </w:r>
          </w:p>
        </w:tc>
        <w:tc>
          <w:tcPr>
            <w:tcW w:w="0" w:type="auto"/>
            <w:tcBorders>
              <w:tl2br w:val="nil"/>
              <w:tr2bl w:val="nil"/>
            </w:tcBorders>
            <w:noWrap w:val="0"/>
            <w:vAlign w:val="center"/>
          </w:tcPr>
          <w:p w14:paraId="096CD555">
            <w:pPr>
              <w:widowControl/>
              <w:jc w:val="center"/>
              <w:rPr>
                <w:rFonts w:ascii="宋体" w:hAnsi="宋体" w:cs="宋体"/>
                <w:kern w:val="0"/>
                <w:sz w:val="20"/>
              </w:rPr>
            </w:pPr>
            <w:r>
              <w:rPr>
                <w:rFonts w:hint="eastAsia" w:ascii="宋体" w:hAnsi="宋体" w:cs="宋体"/>
                <w:kern w:val="0"/>
                <w:sz w:val="20"/>
              </w:rPr>
              <w:t>服务器</w:t>
            </w:r>
          </w:p>
        </w:tc>
        <w:tc>
          <w:tcPr>
            <w:tcW w:w="0" w:type="auto"/>
            <w:tcBorders>
              <w:tl2br w:val="nil"/>
              <w:tr2bl w:val="nil"/>
            </w:tcBorders>
            <w:noWrap w:val="0"/>
            <w:vAlign w:val="center"/>
          </w:tcPr>
          <w:p w14:paraId="75F677A6">
            <w:pPr>
              <w:widowControl/>
              <w:jc w:val="center"/>
              <w:rPr>
                <w:rFonts w:hint="eastAsia" w:ascii="宋体" w:hAnsi="宋体" w:cs="宋体"/>
                <w:kern w:val="0"/>
                <w:sz w:val="20"/>
              </w:rPr>
            </w:pPr>
            <w:r>
              <w:rPr>
                <w:rFonts w:hint="eastAsia" w:ascii="宋体" w:hAnsi="宋体" w:cs="宋体"/>
                <w:kern w:val="0"/>
                <w:sz w:val="20"/>
              </w:rPr>
              <w:t>天融信超融合管</w:t>
            </w:r>
          </w:p>
          <w:p w14:paraId="4761B81E">
            <w:pPr>
              <w:widowControl/>
              <w:jc w:val="center"/>
              <w:rPr>
                <w:rFonts w:ascii="宋体" w:hAnsi="宋体" w:cs="宋体"/>
                <w:kern w:val="0"/>
                <w:sz w:val="20"/>
              </w:rPr>
            </w:pPr>
            <w:r>
              <w:rPr>
                <w:rFonts w:hint="eastAsia" w:ascii="宋体" w:hAnsi="宋体" w:cs="宋体"/>
                <w:kern w:val="0"/>
                <w:sz w:val="20"/>
              </w:rPr>
              <w:t>理系统V3</w:t>
            </w:r>
          </w:p>
        </w:tc>
        <w:tc>
          <w:tcPr>
            <w:tcW w:w="0" w:type="auto"/>
            <w:tcBorders>
              <w:tl2br w:val="nil"/>
              <w:tr2bl w:val="nil"/>
            </w:tcBorders>
            <w:noWrap w:val="0"/>
            <w:vAlign w:val="center"/>
          </w:tcPr>
          <w:p w14:paraId="00FF7C0F">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CPU:Intel Gold 5117处理器*2颗</w:t>
            </w:r>
          </w:p>
          <w:p w14:paraId="03C41D52">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内存：256GB(8*32GB)，标配DDR4</w:t>
            </w:r>
          </w:p>
          <w:p w14:paraId="4FCEBB88">
            <w:pPr>
              <w:widowControl/>
              <w:jc w:val="left"/>
              <w:rPr>
                <w:rFonts w:hint="eastAsia" w:ascii="宋体" w:hAnsi="宋体" w:cs="宋体"/>
                <w:kern w:val="0"/>
                <w:sz w:val="20"/>
                <w:lang w:val="en-US" w:eastAsia="zh-CN"/>
              </w:rPr>
            </w:pPr>
            <w:r>
              <w:rPr>
                <w:rFonts w:hint="eastAsia" w:ascii="宋体" w:hAnsi="宋体" w:cs="宋体"/>
                <w:kern w:val="0"/>
                <w:sz w:val="20"/>
                <w:lang w:val="en-US" w:eastAsia="zh-CN"/>
              </w:rPr>
              <w:t>后置系统:1*256GB SSD</w:t>
            </w:r>
          </w:p>
          <w:p w14:paraId="15A4E094">
            <w:pPr>
              <w:widowControl/>
              <w:jc w:val="left"/>
              <w:rPr>
                <w:rFonts w:ascii="宋体" w:hAnsi="宋体" w:cs="宋体"/>
                <w:kern w:val="0"/>
                <w:sz w:val="20"/>
              </w:rPr>
            </w:pPr>
            <w:r>
              <w:rPr>
                <w:rFonts w:hint="eastAsia" w:ascii="宋体" w:hAnsi="宋体" w:cs="宋体"/>
                <w:kern w:val="0"/>
                <w:sz w:val="20"/>
                <w:lang w:val="en-US" w:eastAsia="zh-CN"/>
              </w:rPr>
              <w:t>电源：800W冗余电源，硬盘：2块3.5寸8TB 7200转SATA硬盘/企业级，2块512GB SSD固态硬盘 SATA接囗 2.5寸</w:t>
            </w:r>
          </w:p>
        </w:tc>
        <w:tc>
          <w:tcPr>
            <w:tcW w:w="0" w:type="auto"/>
            <w:tcBorders>
              <w:tl2br w:val="nil"/>
              <w:tr2bl w:val="nil"/>
            </w:tcBorders>
            <w:noWrap w:val="0"/>
            <w:vAlign w:val="center"/>
          </w:tcPr>
          <w:p w14:paraId="4AC401CC">
            <w:pPr>
              <w:widowControl/>
              <w:jc w:val="center"/>
              <w:rPr>
                <w:rFonts w:ascii="宋体" w:hAnsi="宋体" w:cs="宋体"/>
                <w:kern w:val="0"/>
                <w:sz w:val="20"/>
              </w:rPr>
            </w:pPr>
            <w:r>
              <w:rPr>
                <w:rFonts w:hint="eastAsia" w:ascii="宋体" w:hAnsi="宋体" w:cs="宋体"/>
                <w:kern w:val="0"/>
                <w:sz w:val="20"/>
              </w:rPr>
              <w:t>台</w:t>
            </w:r>
          </w:p>
        </w:tc>
        <w:tc>
          <w:tcPr>
            <w:tcW w:w="0" w:type="auto"/>
            <w:tcBorders>
              <w:tl2br w:val="nil"/>
              <w:tr2bl w:val="nil"/>
            </w:tcBorders>
            <w:noWrap w:val="0"/>
            <w:vAlign w:val="center"/>
          </w:tcPr>
          <w:p w14:paraId="36BC677F">
            <w:pPr>
              <w:widowControl/>
              <w:jc w:val="center"/>
              <w:rPr>
                <w:rFonts w:ascii="宋体" w:hAnsi="宋体" w:cs="宋体"/>
                <w:kern w:val="0"/>
                <w:sz w:val="20"/>
              </w:rPr>
            </w:pPr>
            <w:r>
              <w:rPr>
                <w:rFonts w:hint="eastAsia" w:ascii="宋体" w:hAnsi="宋体" w:cs="宋体"/>
                <w:kern w:val="0"/>
                <w:sz w:val="20"/>
                <w:lang w:val="en-US" w:eastAsia="zh-CN"/>
              </w:rPr>
              <w:t>1</w:t>
            </w:r>
          </w:p>
        </w:tc>
      </w:tr>
      <w:tr w14:paraId="58F2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0" w:type="auto"/>
            <w:tcBorders>
              <w:tl2br w:val="nil"/>
              <w:tr2bl w:val="nil"/>
            </w:tcBorders>
            <w:noWrap w:val="0"/>
            <w:vAlign w:val="center"/>
          </w:tcPr>
          <w:p w14:paraId="7C338968">
            <w:pPr>
              <w:widowControl/>
              <w:jc w:val="center"/>
              <w:rPr>
                <w:rFonts w:hint="eastAsia" w:ascii="宋体" w:hAnsi="宋体" w:eastAsia="宋体" w:cs="宋体"/>
                <w:kern w:val="0"/>
                <w:sz w:val="20"/>
                <w:szCs w:val="24"/>
                <w:lang w:val="en-US" w:eastAsia="zh-CN" w:bidi="ar-SA"/>
              </w:rPr>
            </w:pPr>
            <w:r>
              <w:rPr>
                <w:rFonts w:hint="eastAsia" w:ascii="宋体" w:hAnsi="宋体" w:cs="宋体"/>
                <w:kern w:val="0"/>
                <w:sz w:val="20"/>
                <w:lang w:val="en-US" w:eastAsia="zh-CN"/>
              </w:rPr>
              <w:t>4</w:t>
            </w:r>
          </w:p>
        </w:tc>
        <w:tc>
          <w:tcPr>
            <w:tcW w:w="0" w:type="auto"/>
            <w:tcBorders>
              <w:tl2br w:val="nil"/>
              <w:tr2bl w:val="nil"/>
            </w:tcBorders>
            <w:noWrap w:val="0"/>
            <w:vAlign w:val="center"/>
          </w:tcPr>
          <w:p w14:paraId="511DCFB6">
            <w:pPr>
              <w:widowControl/>
              <w:jc w:val="center"/>
              <w:rPr>
                <w:rFonts w:hint="default" w:ascii="宋体" w:hAnsi="宋体" w:eastAsia="宋体" w:cs="宋体"/>
                <w:kern w:val="0"/>
                <w:sz w:val="20"/>
                <w:szCs w:val="24"/>
                <w:lang w:val="en-US" w:eastAsia="zh-CN" w:bidi="ar-SA"/>
              </w:rPr>
            </w:pPr>
            <w:r>
              <w:rPr>
                <w:rFonts w:hint="eastAsia" w:ascii="宋体" w:hAnsi="宋体" w:cs="宋体"/>
                <w:kern w:val="0"/>
                <w:sz w:val="20"/>
                <w:lang w:val="en-US" w:eastAsia="zh-CN"/>
              </w:rPr>
              <w:t>软件服务</w:t>
            </w:r>
          </w:p>
        </w:tc>
        <w:tc>
          <w:tcPr>
            <w:tcW w:w="0" w:type="auto"/>
            <w:tcBorders>
              <w:tl2br w:val="nil"/>
              <w:tr2bl w:val="nil"/>
            </w:tcBorders>
            <w:noWrap w:val="0"/>
            <w:vAlign w:val="center"/>
          </w:tcPr>
          <w:p w14:paraId="2E857B7A">
            <w:pPr>
              <w:widowControl/>
              <w:jc w:val="center"/>
              <w:rPr>
                <w:rFonts w:hint="eastAsia" w:ascii="宋体" w:hAnsi="宋体" w:cs="宋体"/>
                <w:kern w:val="0"/>
                <w:sz w:val="20"/>
              </w:rPr>
            </w:pPr>
            <w:r>
              <w:rPr>
                <w:rFonts w:hint="eastAsia" w:ascii="宋体" w:hAnsi="宋体" w:cs="宋体"/>
                <w:kern w:val="0"/>
                <w:sz w:val="20"/>
              </w:rPr>
              <w:t>天融信超融合管</w:t>
            </w:r>
          </w:p>
          <w:p w14:paraId="787628F8">
            <w:pPr>
              <w:widowControl/>
              <w:jc w:val="center"/>
              <w:rPr>
                <w:rFonts w:hint="eastAsia" w:ascii="宋体" w:hAnsi="宋体" w:cs="宋体"/>
                <w:kern w:val="0"/>
                <w:sz w:val="20"/>
                <w:szCs w:val="24"/>
                <w:lang w:val="en-US" w:eastAsia="zh-CN" w:bidi="ar-SA"/>
              </w:rPr>
            </w:pPr>
            <w:r>
              <w:rPr>
                <w:rFonts w:hint="eastAsia" w:ascii="宋体" w:hAnsi="宋体" w:cs="宋体"/>
                <w:kern w:val="0"/>
                <w:sz w:val="20"/>
              </w:rPr>
              <w:t>理系统V3</w:t>
            </w:r>
          </w:p>
        </w:tc>
        <w:tc>
          <w:tcPr>
            <w:tcW w:w="0" w:type="auto"/>
            <w:tcBorders>
              <w:tl2br w:val="nil"/>
              <w:tr2bl w:val="nil"/>
            </w:tcBorders>
            <w:noWrap w:val="0"/>
            <w:vAlign w:val="center"/>
          </w:tcPr>
          <w:p w14:paraId="236BCE0B">
            <w:pPr>
              <w:widowControl/>
              <w:jc w:val="both"/>
              <w:rPr>
                <w:rFonts w:hint="eastAsia" w:ascii="宋体" w:hAnsi="宋体" w:cs="宋体"/>
                <w:kern w:val="0"/>
                <w:sz w:val="20"/>
                <w:szCs w:val="24"/>
                <w:lang w:val="en-US" w:eastAsia="zh-CN" w:bidi="ar-SA"/>
              </w:rPr>
            </w:pPr>
            <w:r>
              <w:rPr>
                <w:rFonts w:hint="eastAsia" w:ascii="宋体" w:hAnsi="宋体" w:cs="宋体"/>
                <w:kern w:val="0"/>
                <w:sz w:val="20"/>
                <w:szCs w:val="24"/>
                <w:lang w:val="en-US" w:eastAsia="zh-CN" w:bidi="ar-SA"/>
              </w:rPr>
              <w:t>含6核心CPU超融合软件版本升级服务和远程技术支持服务</w:t>
            </w:r>
          </w:p>
        </w:tc>
        <w:tc>
          <w:tcPr>
            <w:tcW w:w="0" w:type="auto"/>
            <w:tcBorders>
              <w:tl2br w:val="nil"/>
              <w:tr2bl w:val="nil"/>
            </w:tcBorders>
            <w:noWrap w:val="0"/>
            <w:vAlign w:val="center"/>
          </w:tcPr>
          <w:p w14:paraId="7C1BE2C1">
            <w:pPr>
              <w:widowControl/>
              <w:jc w:val="center"/>
              <w:rPr>
                <w:rFonts w:hint="default" w:ascii="宋体" w:hAnsi="宋体" w:eastAsia="宋体" w:cs="宋体"/>
                <w:kern w:val="0"/>
                <w:sz w:val="20"/>
                <w:szCs w:val="24"/>
                <w:lang w:val="en-US" w:eastAsia="zh-CN" w:bidi="ar-SA"/>
              </w:rPr>
            </w:pPr>
            <w:r>
              <w:rPr>
                <w:rFonts w:hint="eastAsia" w:ascii="宋体" w:hAnsi="宋体" w:cs="宋体"/>
                <w:kern w:val="0"/>
                <w:sz w:val="20"/>
                <w:szCs w:val="24"/>
                <w:lang w:val="en-US" w:eastAsia="zh-CN" w:bidi="ar-SA"/>
              </w:rPr>
              <w:t>项</w:t>
            </w:r>
          </w:p>
        </w:tc>
        <w:tc>
          <w:tcPr>
            <w:tcW w:w="0" w:type="auto"/>
            <w:tcBorders>
              <w:tl2br w:val="nil"/>
              <w:tr2bl w:val="nil"/>
            </w:tcBorders>
            <w:noWrap w:val="0"/>
            <w:vAlign w:val="center"/>
          </w:tcPr>
          <w:p w14:paraId="7D49E5B9">
            <w:pPr>
              <w:widowControl/>
              <w:jc w:val="center"/>
              <w:rPr>
                <w:rFonts w:hint="eastAsia" w:ascii="宋体" w:hAnsi="宋体" w:cs="宋体"/>
                <w:kern w:val="0"/>
                <w:sz w:val="20"/>
                <w:szCs w:val="24"/>
                <w:lang w:val="en-US" w:eastAsia="zh-CN" w:bidi="ar-SA"/>
              </w:rPr>
            </w:pPr>
            <w:r>
              <w:rPr>
                <w:rFonts w:hint="eastAsia" w:ascii="宋体" w:hAnsi="宋体" w:cs="宋体"/>
                <w:kern w:val="0"/>
                <w:sz w:val="20"/>
                <w:lang w:val="en-US" w:eastAsia="zh-CN"/>
              </w:rPr>
              <w:t>1</w:t>
            </w:r>
          </w:p>
        </w:tc>
      </w:tr>
      <w:tr w14:paraId="3FCA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0" w:type="auto"/>
            <w:tcBorders>
              <w:tl2br w:val="nil"/>
              <w:tr2bl w:val="nil"/>
            </w:tcBorders>
            <w:noWrap w:val="0"/>
            <w:vAlign w:val="center"/>
          </w:tcPr>
          <w:p w14:paraId="226BB61F">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5</w:t>
            </w:r>
          </w:p>
        </w:tc>
        <w:tc>
          <w:tcPr>
            <w:tcW w:w="0" w:type="auto"/>
            <w:tcBorders>
              <w:tl2br w:val="nil"/>
              <w:tr2bl w:val="nil"/>
            </w:tcBorders>
            <w:noWrap w:val="0"/>
            <w:vAlign w:val="center"/>
          </w:tcPr>
          <w:p w14:paraId="21A809B1">
            <w:pPr>
              <w:widowControl/>
              <w:jc w:val="center"/>
              <w:rPr>
                <w:rFonts w:hint="default" w:ascii="宋体" w:hAnsi="宋体" w:cs="宋体"/>
                <w:kern w:val="0"/>
                <w:sz w:val="20"/>
                <w:lang w:val="en-US" w:eastAsia="zh-CN"/>
              </w:rPr>
            </w:pPr>
            <w:r>
              <w:rPr>
                <w:rFonts w:hint="default" w:ascii="宋体" w:hAnsi="宋体" w:cs="宋体"/>
                <w:kern w:val="0"/>
                <w:sz w:val="20"/>
                <w:lang w:val="en-US" w:eastAsia="zh-CN"/>
              </w:rPr>
              <w:t>终端安全防护</w:t>
            </w:r>
          </w:p>
        </w:tc>
        <w:tc>
          <w:tcPr>
            <w:tcW w:w="0" w:type="auto"/>
            <w:tcBorders>
              <w:tl2br w:val="nil"/>
              <w:tr2bl w:val="nil"/>
            </w:tcBorders>
            <w:noWrap w:val="0"/>
            <w:vAlign w:val="center"/>
          </w:tcPr>
          <w:p w14:paraId="6F06CF17">
            <w:pPr>
              <w:widowControl/>
              <w:jc w:val="center"/>
              <w:rPr>
                <w:rFonts w:hint="eastAsia" w:ascii="宋体" w:hAnsi="宋体" w:cs="宋体"/>
                <w:kern w:val="0"/>
                <w:sz w:val="20"/>
              </w:rPr>
            </w:pPr>
            <w:r>
              <w:rPr>
                <w:rFonts w:hint="eastAsia" w:ascii="宋体" w:hAnsi="宋体" w:cs="宋体"/>
                <w:kern w:val="0"/>
                <w:sz w:val="20"/>
              </w:rPr>
              <w:t>天融信终端威胁防御系统V1</w:t>
            </w:r>
          </w:p>
        </w:tc>
        <w:tc>
          <w:tcPr>
            <w:tcW w:w="0" w:type="auto"/>
            <w:tcBorders>
              <w:tl2br w:val="nil"/>
              <w:tr2bl w:val="nil"/>
            </w:tcBorders>
            <w:noWrap w:val="0"/>
            <w:vAlign w:val="center"/>
          </w:tcPr>
          <w:p w14:paraId="4EDD01D9">
            <w:pPr>
              <w:widowControl/>
              <w:jc w:val="both"/>
              <w:rPr>
                <w:rFonts w:hint="eastAsia" w:ascii="宋体" w:hAnsi="宋体" w:cs="宋体"/>
                <w:kern w:val="0"/>
                <w:sz w:val="20"/>
                <w:szCs w:val="24"/>
                <w:lang w:val="en-US" w:eastAsia="zh-CN" w:bidi="ar-SA"/>
              </w:rPr>
            </w:pPr>
            <w:r>
              <w:rPr>
                <w:rFonts w:hint="eastAsia" w:ascii="宋体" w:hAnsi="宋体" w:cs="宋体"/>
                <w:kern w:val="0"/>
                <w:sz w:val="20"/>
                <w:szCs w:val="24"/>
                <w:lang w:val="en-US" w:eastAsia="zh-CN" w:bidi="ar-SA"/>
              </w:rPr>
              <w:t>提供100个Windows PC/Server系统原厂1年升级服务。</w:t>
            </w:r>
          </w:p>
          <w:p w14:paraId="27BFD4D3">
            <w:pPr>
              <w:widowControl/>
              <w:jc w:val="both"/>
              <w:rPr>
                <w:rFonts w:hint="default" w:ascii="宋体" w:hAnsi="宋体" w:cs="宋体"/>
                <w:kern w:val="0"/>
                <w:sz w:val="20"/>
                <w:szCs w:val="24"/>
                <w:lang w:val="en-US" w:eastAsia="zh-CN" w:bidi="ar-SA"/>
              </w:rPr>
            </w:pPr>
            <w:r>
              <w:rPr>
                <w:rFonts w:hint="eastAsia" w:ascii="宋体" w:hAnsi="宋体" w:cs="宋体"/>
                <w:kern w:val="0"/>
                <w:sz w:val="20"/>
                <w:szCs w:val="24"/>
                <w:lang w:val="en-US" w:eastAsia="zh-CN" w:bidi="ar-SA"/>
              </w:rPr>
              <w:t>必须包含1年原厂病毒库升级服务。</w:t>
            </w:r>
          </w:p>
          <w:p w14:paraId="3F9DDBB5">
            <w:pPr>
              <w:widowControl/>
              <w:jc w:val="both"/>
              <w:rPr>
                <w:rFonts w:hint="eastAsia" w:ascii="宋体" w:hAnsi="宋体" w:cs="宋体"/>
                <w:kern w:val="0"/>
                <w:sz w:val="20"/>
                <w:szCs w:val="24"/>
                <w:lang w:val="en-US" w:eastAsia="zh-CN" w:bidi="ar-SA"/>
              </w:rPr>
            </w:pPr>
          </w:p>
        </w:tc>
        <w:tc>
          <w:tcPr>
            <w:tcW w:w="0" w:type="auto"/>
            <w:tcBorders>
              <w:tl2br w:val="nil"/>
              <w:tr2bl w:val="nil"/>
            </w:tcBorders>
            <w:noWrap w:val="0"/>
            <w:vAlign w:val="center"/>
          </w:tcPr>
          <w:p w14:paraId="4DF02AAA">
            <w:pPr>
              <w:widowControl/>
              <w:jc w:val="center"/>
              <w:rPr>
                <w:rFonts w:hint="default" w:ascii="宋体" w:hAnsi="宋体" w:cs="宋体"/>
                <w:kern w:val="0"/>
                <w:sz w:val="20"/>
                <w:szCs w:val="24"/>
                <w:lang w:val="en-US" w:eastAsia="zh-CN" w:bidi="ar-SA"/>
              </w:rPr>
            </w:pPr>
            <w:r>
              <w:rPr>
                <w:rFonts w:hint="eastAsia" w:ascii="宋体" w:hAnsi="宋体" w:cs="宋体"/>
                <w:kern w:val="0"/>
                <w:sz w:val="20"/>
                <w:szCs w:val="24"/>
                <w:lang w:val="en-US" w:eastAsia="zh-CN" w:bidi="ar-SA"/>
              </w:rPr>
              <w:t>套</w:t>
            </w:r>
          </w:p>
        </w:tc>
        <w:tc>
          <w:tcPr>
            <w:tcW w:w="0" w:type="auto"/>
            <w:tcBorders>
              <w:tl2br w:val="nil"/>
              <w:tr2bl w:val="nil"/>
            </w:tcBorders>
            <w:noWrap w:val="0"/>
            <w:vAlign w:val="center"/>
          </w:tcPr>
          <w:p w14:paraId="7BC8D906">
            <w:pPr>
              <w:widowControl/>
              <w:jc w:val="center"/>
              <w:rPr>
                <w:rFonts w:hint="default" w:ascii="宋体" w:hAnsi="宋体" w:cs="宋体"/>
                <w:kern w:val="0"/>
                <w:sz w:val="20"/>
                <w:lang w:val="en-US" w:eastAsia="zh-CN"/>
              </w:rPr>
            </w:pPr>
            <w:r>
              <w:rPr>
                <w:rFonts w:hint="eastAsia" w:ascii="宋体" w:hAnsi="宋体" w:cs="宋体"/>
                <w:kern w:val="0"/>
                <w:sz w:val="20"/>
                <w:lang w:val="en-US" w:eastAsia="zh-CN"/>
              </w:rPr>
              <w:t>5</w:t>
            </w:r>
          </w:p>
        </w:tc>
      </w:tr>
    </w:tbl>
    <w:p w14:paraId="75DC45E1">
      <w:pPr>
        <w:numPr>
          <w:ilvl w:val="0"/>
          <w:numId w:val="0"/>
        </w:numPr>
        <w:spacing w:line="360" w:lineRule="exact"/>
        <w:rPr>
          <w:rFonts w:hint="eastAsia" w:asciiTheme="minorEastAsia" w:hAnsiTheme="minorEastAsia" w:cstheme="minorEastAsia"/>
          <w:sz w:val="21"/>
          <w:szCs w:val="21"/>
          <w:lang w:val="en-US" w:eastAsia="zh-CN"/>
        </w:rPr>
      </w:pPr>
      <w:r>
        <w:rPr>
          <w:szCs w:val="21"/>
        </w:rPr>
        <w:t xml:space="preserve"> </w:t>
      </w:r>
      <w:r>
        <w:rPr>
          <w:rFonts w:hint="eastAsia" w:asciiTheme="minorEastAsia" w:hAnsiTheme="minorEastAsia" w:cstheme="minorEastAsia"/>
          <w:b/>
          <w:kern w:val="2"/>
          <w:sz w:val="21"/>
          <w:szCs w:val="21"/>
          <w:lang w:val="en-US" w:eastAsia="zh-CN" w:bidi="ar-SA"/>
        </w:rPr>
        <w:t>7、</w:t>
      </w:r>
      <w:r>
        <w:rPr>
          <w:rFonts w:hint="eastAsia" w:asciiTheme="minorEastAsia" w:hAnsiTheme="minorEastAsia" w:eastAsiaTheme="minorEastAsia" w:cstheme="minorEastAsia"/>
          <w:b/>
          <w:kern w:val="2"/>
          <w:sz w:val="21"/>
          <w:szCs w:val="21"/>
          <w:lang w:val="en-US" w:eastAsia="zh-CN" w:bidi="ar-SA"/>
        </w:rPr>
        <w:t>付款方式</w:t>
      </w: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2.1 第一期付款：签订合同后，成交供应商出具等额有效发票30个工作日内支付合同总额90%。</w:t>
      </w:r>
    </w:p>
    <w:p w14:paraId="47B7B043">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2.2 第二期付款：系统正常维护服务满12个月后，成交供应商项目验收合格后，采购人在收到成交供应商提供的发票后，在30个工作日内支付合同总额10%。</w:t>
      </w: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8、</w:t>
      </w:r>
      <w:r>
        <w:rPr>
          <w:rFonts w:hint="eastAsia" w:asciiTheme="minorEastAsia" w:hAnsiTheme="minorEastAsia" w:eastAsiaTheme="minorEastAsia" w:cstheme="minorEastAsia"/>
          <w:b/>
          <w:sz w:val="21"/>
          <w:szCs w:val="21"/>
          <w:lang w:val="en-US" w:eastAsia="zh-CN"/>
        </w:rPr>
        <w:t>报价要求</w:t>
      </w:r>
    </w:p>
    <w:p w14:paraId="5EF4F738">
      <w:pPr>
        <w:pStyle w:val="8"/>
        <w:rPr>
          <w:rFonts w:ascii="微软雅黑" w:hAnsi="微软雅黑" w:eastAsia="微软雅黑"/>
        </w:rPr>
      </w:pPr>
      <w:r>
        <w:rPr>
          <w:rFonts w:hint="eastAsia"/>
        </w:rPr>
        <w:t>报价供应商必须按要求完整填写相关附表，并签字盖章</w:t>
      </w:r>
      <w:bookmarkStart w:id="0" w:name="_GoBack"/>
      <w:bookmarkEnd w:id="0"/>
      <w:r>
        <w:rPr>
          <w:rFonts w:hint="eastAsia"/>
        </w:rPr>
        <w:t>。</w:t>
      </w:r>
    </w:p>
    <w:p w14:paraId="1F29FFBF">
      <w:pPr>
        <w:pStyle w:val="8"/>
        <w:rPr>
          <w:rFonts w:ascii="微软雅黑" w:hAnsi="微软雅黑" w:eastAsia="微软雅黑"/>
        </w:rPr>
      </w:pPr>
      <w:r>
        <w:rPr>
          <w:rFonts w:hint="eastAsia"/>
        </w:rPr>
        <w:t>备注：</w:t>
      </w:r>
    </w:p>
    <w:p w14:paraId="6F502451">
      <w:pPr>
        <w:pStyle w:val="8"/>
        <w:rPr>
          <w:rFonts w:ascii="微软雅黑" w:hAnsi="微软雅黑" w:eastAsia="微软雅黑"/>
        </w:rPr>
      </w:pPr>
      <w:r>
        <w:rPr>
          <w:rFonts w:hint="eastAsia"/>
        </w:rPr>
        <w:t>1、该报价文件要求一正一副，密封递交。</w:t>
      </w:r>
    </w:p>
    <w:p w14:paraId="3F73B465">
      <w:pPr>
        <w:pStyle w:val="8"/>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8"/>
        <w:rPr>
          <w:rFonts w:ascii="微软雅黑" w:hAnsi="微软雅黑" w:eastAsia="微软雅黑"/>
        </w:rPr>
      </w:pPr>
      <w:r>
        <w:rPr>
          <w:rFonts w:hint="eastAsia"/>
        </w:rPr>
        <w:t>3、密封外包装加盖供应商印章。</w:t>
      </w:r>
    </w:p>
    <w:p w14:paraId="0D88FDC3">
      <w:pPr>
        <w:pStyle w:val="8"/>
        <w:rPr>
          <w:rFonts w:ascii="微软雅黑" w:hAnsi="微软雅黑" w:eastAsia="微软雅黑"/>
        </w:rPr>
      </w:pPr>
      <w:r>
        <w:rPr>
          <w:rFonts w:hint="eastAsia"/>
        </w:rPr>
        <w:t>4、如果未按要求密封和标记，采购人对误投或提前启封概不负责。</w:t>
      </w:r>
    </w:p>
    <w:p w14:paraId="7A357160">
      <w:pPr>
        <w:pStyle w:val="8"/>
        <w:rPr>
          <w:rFonts w:hint="eastAsia" w:asciiTheme="minorEastAsia" w:hAnsiTheme="minorEastAsia" w:eastAsiaTheme="minorEastAsia" w:cstheme="minorEastAsia"/>
          <w:sz w:val="21"/>
          <w:szCs w:val="21"/>
          <w:lang w:eastAsia="zh-CN"/>
        </w:rPr>
      </w:pPr>
      <w:r>
        <w:rPr>
          <w:rFonts w:hint="eastAsia"/>
        </w:rPr>
        <w:t>5、★供应商必须根据采购项目的技术参数按顺序逐条响应，佐证材料标注页码，否则可作废处理。</w:t>
      </w:r>
      <w:r>
        <w:t xml:space="preserve">        </w:t>
      </w: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中山市古镇人民医院天融信超融合及杀毒EDR维保服务项目采购项目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9"/>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2"/>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2"/>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2"/>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8"/>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62D7E61-5760-4A72-8CA2-F38D18AF0F9F}"/>
  </w:font>
  <w:font w:name="黑体">
    <w:panose1 w:val="02010609060101010101"/>
    <w:charset w:val="86"/>
    <w:family w:val="auto"/>
    <w:pitch w:val="default"/>
    <w:sig w:usb0="800002BF" w:usb1="38CF7CFA" w:usb2="00000016" w:usb3="00000000" w:csb0="00040001" w:csb1="00000000"/>
    <w:embedRegular r:id="rId2" w:fontKey="{A2B0951A-E48D-421F-80E0-7AA7089552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85D402CA-23ED-4A47-8921-B307AD04087D}"/>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4" w:fontKey="{59E322B5-C47E-440D-8E80-9D1AC7D40511}"/>
  </w:font>
  <w:font w:name="汉仪中黑简">
    <w:panose1 w:val="02010600000101010101"/>
    <w:charset w:val="86"/>
    <w:family w:val="auto"/>
    <w:pitch w:val="default"/>
    <w:sig w:usb0="00000001" w:usb1="080E0800" w:usb2="00000002" w:usb3="00000000" w:csb0="00040000" w:csb1="00000000"/>
    <w:embedRegular r:id="rId5" w:fontKey="{F66095EC-D084-409C-A250-1473526CF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AFEB178"/>
    <w:multiLevelType w:val="singleLevel"/>
    <w:tmpl w:val="5AFEB178"/>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F74548"/>
    <w:rsid w:val="0DE243F0"/>
    <w:rsid w:val="13A252B3"/>
    <w:rsid w:val="151439D2"/>
    <w:rsid w:val="1600573D"/>
    <w:rsid w:val="1688195D"/>
    <w:rsid w:val="17DE1280"/>
    <w:rsid w:val="1A4F2543"/>
    <w:rsid w:val="1FF468DA"/>
    <w:rsid w:val="216923C7"/>
    <w:rsid w:val="22923BD9"/>
    <w:rsid w:val="2AD92954"/>
    <w:rsid w:val="2F983443"/>
    <w:rsid w:val="322D2222"/>
    <w:rsid w:val="32AE2918"/>
    <w:rsid w:val="32B91648"/>
    <w:rsid w:val="3D98059B"/>
    <w:rsid w:val="40037848"/>
    <w:rsid w:val="4012471B"/>
    <w:rsid w:val="48E829AC"/>
    <w:rsid w:val="4C7664D1"/>
    <w:rsid w:val="4E110ACB"/>
    <w:rsid w:val="52154D37"/>
    <w:rsid w:val="5669507B"/>
    <w:rsid w:val="5EA63358"/>
    <w:rsid w:val="640A5DBF"/>
    <w:rsid w:val="64EA5182"/>
    <w:rsid w:val="6A010552"/>
    <w:rsid w:val="6EED08A1"/>
    <w:rsid w:val="75F55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51"/>
    <w:basedOn w:val="11"/>
    <w:autoRedefine/>
    <w:qFormat/>
    <w:uiPriority w:val="0"/>
    <w:rPr>
      <w:rFonts w:ascii="宋体" w:hAnsi="宋体" w:eastAsia="宋体" w:cs="宋体"/>
      <w:b/>
      <w:bCs/>
      <w:color w:val="000000"/>
      <w:sz w:val="16"/>
      <w:szCs w:val="16"/>
      <w:u w:val="none"/>
    </w:rPr>
  </w:style>
  <w:style w:type="character" w:customStyle="1" w:styleId="17">
    <w:name w:val="font41"/>
    <w:basedOn w:val="11"/>
    <w:autoRedefine/>
    <w:qFormat/>
    <w:uiPriority w:val="0"/>
    <w:rPr>
      <w:rFonts w:ascii="宋体" w:hAnsi="宋体" w:eastAsia="宋体" w:cs="宋体"/>
      <w:color w:val="000000"/>
      <w:sz w:val="16"/>
      <w:szCs w:val="16"/>
      <w:u w:val="none"/>
    </w:rPr>
  </w:style>
  <w:style w:type="character" w:customStyle="1" w:styleId="18">
    <w:name w:val="font21"/>
    <w:basedOn w:val="11"/>
    <w:autoRedefine/>
    <w:qFormat/>
    <w:uiPriority w:val="0"/>
    <w:rPr>
      <w:rFonts w:ascii="宋体" w:hAnsi="宋体" w:eastAsia="宋体" w:cs="宋体"/>
      <w:color w:val="000000"/>
      <w:sz w:val="8"/>
      <w:szCs w:val="8"/>
      <w:u w:val="none"/>
    </w:rPr>
  </w:style>
  <w:style w:type="character" w:customStyle="1" w:styleId="19">
    <w:name w:val="font61"/>
    <w:basedOn w:val="11"/>
    <w:autoRedefine/>
    <w:qFormat/>
    <w:uiPriority w:val="0"/>
    <w:rPr>
      <w:rFonts w:ascii="宋体" w:hAnsi="宋体" w:eastAsia="宋体" w:cs="宋体"/>
      <w:b/>
      <w:bCs/>
      <w:color w:val="000000"/>
      <w:sz w:val="10"/>
      <w:szCs w:val="10"/>
      <w:u w:val="none"/>
    </w:rPr>
  </w:style>
  <w:style w:type="character" w:customStyle="1" w:styleId="20">
    <w:name w:val="font71"/>
    <w:basedOn w:val="11"/>
    <w:autoRedefine/>
    <w:qFormat/>
    <w:uiPriority w:val="0"/>
    <w:rPr>
      <w:rFonts w:ascii="黑体" w:hAnsi="宋体" w:eastAsia="黑体" w:cs="黑体"/>
      <w:b/>
      <w:bCs/>
      <w:color w:val="000000"/>
      <w:sz w:val="12"/>
      <w:szCs w:val="12"/>
      <w:u w:val="none"/>
    </w:rPr>
  </w:style>
  <w:style w:type="character" w:customStyle="1" w:styleId="21">
    <w:name w:val="font31"/>
    <w:basedOn w:val="11"/>
    <w:autoRedefine/>
    <w:qFormat/>
    <w:uiPriority w:val="0"/>
    <w:rPr>
      <w:rFonts w:ascii="宋体" w:hAnsi="宋体" w:eastAsia="宋体" w:cs="宋体"/>
      <w:color w:val="000000"/>
      <w:sz w:val="8"/>
      <w:szCs w:val="8"/>
      <w:u w:val="none"/>
    </w:rPr>
  </w:style>
  <w:style w:type="character" w:customStyle="1" w:styleId="22">
    <w:name w:val="font81"/>
    <w:basedOn w:val="11"/>
    <w:autoRedefine/>
    <w:qFormat/>
    <w:uiPriority w:val="0"/>
    <w:rPr>
      <w:rFonts w:hint="default" w:ascii="Arial" w:hAnsi="Arial" w:cs="Arial"/>
      <w:color w:val="000000"/>
      <w:sz w:val="7"/>
      <w:szCs w:val="7"/>
      <w:u w:val="none"/>
    </w:rPr>
  </w:style>
  <w:style w:type="character" w:customStyle="1" w:styleId="23">
    <w:name w:val="font91"/>
    <w:basedOn w:val="11"/>
    <w:autoRedefine/>
    <w:qFormat/>
    <w:uiPriority w:val="0"/>
    <w:rPr>
      <w:rFonts w:ascii="隶书" w:hAnsi="隶书" w:eastAsia="隶书" w:cs="隶书"/>
      <w:color w:val="000000"/>
      <w:sz w:val="8"/>
      <w:szCs w:val="8"/>
      <w:u w:val="none"/>
    </w:rPr>
  </w:style>
  <w:style w:type="character" w:customStyle="1" w:styleId="24">
    <w:name w:val="font101"/>
    <w:basedOn w:val="11"/>
    <w:autoRedefine/>
    <w:qFormat/>
    <w:uiPriority w:val="0"/>
    <w:rPr>
      <w:rFonts w:hint="default" w:ascii="Arial" w:hAnsi="Arial" w:cs="Arial"/>
      <w:color w:val="000000"/>
      <w:sz w:val="8"/>
      <w:szCs w:val="8"/>
      <w:u w:val="none"/>
    </w:rPr>
  </w:style>
  <w:style w:type="character" w:customStyle="1" w:styleId="25">
    <w:name w:val="font112"/>
    <w:basedOn w:val="11"/>
    <w:autoRedefine/>
    <w:qFormat/>
    <w:uiPriority w:val="0"/>
    <w:rPr>
      <w:rFonts w:ascii="宋体" w:hAnsi="宋体" w:eastAsia="宋体" w:cs="宋体"/>
      <w:color w:val="533A37"/>
      <w:sz w:val="8"/>
      <w:szCs w:val="8"/>
      <w:u w:val="none"/>
    </w:rPr>
  </w:style>
  <w:style w:type="character" w:customStyle="1" w:styleId="26">
    <w:name w:val="font121"/>
    <w:basedOn w:val="11"/>
    <w:autoRedefine/>
    <w:qFormat/>
    <w:uiPriority w:val="0"/>
    <w:rPr>
      <w:rFonts w:hint="default" w:ascii="Arial" w:hAnsi="Arial" w:cs="Arial"/>
      <w:color w:val="000000"/>
      <w:sz w:val="12"/>
      <w:szCs w:val="12"/>
      <w:u w:val="none"/>
    </w:rPr>
  </w:style>
  <w:style w:type="character" w:customStyle="1" w:styleId="27">
    <w:name w:val="font131"/>
    <w:basedOn w:val="11"/>
    <w:autoRedefine/>
    <w:qFormat/>
    <w:uiPriority w:val="0"/>
    <w:rPr>
      <w:rFonts w:ascii="宋体" w:hAnsi="宋体" w:eastAsia="宋体" w:cs="宋体"/>
      <w:color w:val="000000"/>
      <w:sz w:val="12"/>
      <w:szCs w:val="12"/>
      <w:u w:val="none"/>
    </w:rPr>
  </w:style>
  <w:style w:type="character" w:customStyle="1" w:styleId="28">
    <w:name w:val="font141"/>
    <w:basedOn w:val="11"/>
    <w:autoRedefine/>
    <w:qFormat/>
    <w:uiPriority w:val="0"/>
    <w:rPr>
      <w:rFonts w:ascii="宋体" w:hAnsi="宋体" w:eastAsia="宋体" w:cs="宋体"/>
      <w:color w:val="765E36"/>
      <w:sz w:val="8"/>
      <w:szCs w:val="8"/>
      <w:u w:val="none"/>
    </w:rPr>
  </w:style>
  <w:style w:type="character" w:customStyle="1" w:styleId="29">
    <w:name w:val="font151"/>
    <w:basedOn w:val="11"/>
    <w:autoRedefine/>
    <w:qFormat/>
    <w:uiPriority w:val="0"/>
    <w:rPr>
      <w:rFonts w:hint="default" w:ascii="Times New Roman" w:hAnsi="Times New Roman" w:cs="Times New Roman"/>
      <w:b/>
      <w:bCs/>
      <w:color w:val="000000"/>
      <w:sz w:val="12"/>
      <w:szCs w:val="12"/>
      <w:u w:val="none"/>
    </w:rPr>
  </w:style>
  <w:style w:type="character" w:customStyle="1" w:styleId="30">
    <w:name w:val="font11"/>
    <w:basedOn w:val="11"/>
    <w:autoRedefine/>
    <w:qFormat/>
    <w:uiPriority w:val="0"/>
    <w:rPr>
      <w:rFonts w:hint="eastAsia" w:ascii="宋体" w:hAnsi="宋体" w:eastAsia="宋体" w:cs="宋体"/>
      <w:color w:val="000000"/>
      <w:sz w:val="20"/>
      <w:szCs w:val="20"/>
      <w:u w:val="none"/>
    </w:rPr>
  </w:style>
  <w:style w:type="character" w:customStyle="1" w:styleId="31">
    <w:name w:val="font01"/>
    <w:basedOn w:val="11"/>
    <w:autoRedefine/>
    <w:qFormat/>
    <w:uiPriority w:val="0"/>
    <w:rPr>
      <w:rFonts w:hint="default" w:ascii="Arial" w:hAnsi="Arial" w:cs="Arial"/>
      <w:color w:val="000000"/>
      <w:sz w:val="20"/>
      <w:szCs w:val="20"/>
      <w:u w:val="none"/>
    </w:rPr>
  </w:style>
  <w:style w:type="paragraph" w:customStyle="1" w:styleId="32">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1346</Words>
  <Characters>1446</Characters>
  <Lines>52</Lines>
  <Paragraphs>14</Paragraphs>
  <TotalTime>8</TotalTime>
  <ScaleCrop>false</ScaleCrop>
  <LinksUpToDate>false</LinksUpToDate>
  <CharactersWithSpaces>1453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2025-08-22T04:06:20Z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CC6DF76200A34E9389009DCE5166E5D9_13</vt:lpwstr>
  </property>
  <property fmtid="{D5CDD505-2E9C-101B-9397-08002B2CF9AE}" pid="4" name="KSOTemplateDocerSaveRecord">
    <vt:lpwstr>eyJoZGlkIjoiYWZkNjU5MzVmYjQ0YmE4MDUyZjJhM2NjZDYwNTZjMjEiLCJ1c2VySWQiOiIyODY2MDM0NDUifQ==</vt:lpwstr>
  </property>
</Properties>
</file>