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sz w:val="24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eastAsia="zh-CN"/>
        </w:rPr>
        <w:t>投标文件附加格式《“▲”条款响应表》</w:t>
      </w: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《“▲”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eastAsia="zh-CN"/>
        </w:rPr>
        <w:t>条款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响应表》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项目名称：中山市古镇人民医院迁建项目信息化建设（一期）项目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5179"/>
        <w:gridCol w:w="1235"/>
        <w:gridCol w:w="1267"/>
        <w:gridCol w:w="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采购需求中“▲”条款内容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是否响应（填写：“响应”或相同含义/“不响应”或相同含义）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证明文件所在位置（如有）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5.兼容性需求：本项目清单中的网络设备，需要无缝（备注：至少包括支持设备面板管理，设备告警关联分析等）接入到EPC项目已采购的网管系统软件中，并实现统一网管、认证及运维等。【响应方式：填写《“▲”条款响应表》进行响应】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1.7.3.1.内网汇聚交换机（可网管的三层千兆以太网交换机）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▲14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SAVI要求设备支持SAVI功能，设备在SAVI DHCPv6-only模式下DHCPv6 client只能使用DHCPv6方式获取到的IPv6地址访问网络【响应方式：填写《“▲”条款响应表》进行响应】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1.7.3.1.内网汇聚交换机（可网管的三层千兆以太网交换机）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▲21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CPU保护实现CPU保护功能，能限制非法报文对CPU的攻击，保护交换机在各种环境下稳定工作  【响应方式：填写《“▲”条款响应表》进行响应】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1.7.3.2.内网24口接入交换机（可网管的千兆以太网交换机）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▲6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Cpu保护实现CPU保护功能，能限制非法报文对CPU的攻击，保护交换机在各种环境下稳定工作【响应方式：填写《“▲”条款响应表》进行响应】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1.7.3.2.内网24口接入交换机（可网管的千兆以太网交换机）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▲12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环路阻断实现环路阻断功能，能够快速阻断环路，链路收敛时间≤50ms；【响应方式：填写《“▲”条款响应表》进行响应】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1.7.3.2.内网24口接入交换机（可网管的千兆以太网交换机）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▲14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智能管理平台可实现整网拓扑可视化，对整网交换机统一管理 【响应方式：填写《“▲”条款响应表》进行响应】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1.7.3.3.内网48口接入交换机（可网管的千兆以太网交换机）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▲6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Cpu保护实现CPU保护功能，能限制非法报文对CPU的攻击，保护交换机在各种环境下稳定工作【响应方式：填写《“▲”条款响应表》进行响应】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1.7.3.3.内网48口接入交换机（可网管的千兆以太网交换机）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▲12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环路阻断实现环路阻断功能，能够快速阻断环路，链路收敛时间≤50ms【响应方式：填写《“▲”条款响应表》进行响应】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1.7.3.3.内网48口接入交换机（可网管的千兆以太网交换机）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▲14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智能管理平台可实现整网拓扑可视化，对整网交换机统一管理 【响应方式：填写《“▲”条款响应表》进行响应】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1.7.3.4.内网24口POE交换机（可网管的千兆以太网交换机）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▲6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Cpu保护实现CPU保护功能，能限制非法报文对CPU的攻击，保护交换机在各种环境下稳定工作【响应方式：填写《“▲”条款响应表》进行响应】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1.7.3.4.内网24口POE交换机（可网管的千兆以太网交换机）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▲12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环路阻断实现环路阻断功能，能够快速阻断环路，链路收敛时间≤50ms 【响应方式：填写《“▲”条款响应表》进行响应】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1.7.3.4.内网24口POE交换机（可网管的千兆以太网交换机）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▲14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智能管理平台可实现整网拓扑可视化，对整网交换机统一管理 【响应方式：填写《“▲”条款响应表》进行响应】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1.7.3.5.内网48口POE交换机（可网管的千兆以太网交换机）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▲6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Cpu保护实现CPU保护功能，能限制非法报文对CPU的攻击，保护交换机在各种环境下稳定工作【响应方式：填写《“▲”条款响应表》进行响应】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1.7.3.5.内网48口POE交换机（可网管的千兆以太网交换机）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▲12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环路阻断实现环路阻断功能，能够快速阻断环路，链路收敛时间≤50ms【响应方式：填写《“▲”条款响应表》进行响应】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1.7.3.5.内网48口POE交换机（可网管的千兆以太网交换机）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▲14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智能管理平台可实现整网拓扑可视化，对整网交换机统一管理 【响应方式：填写《“▲”条款响应表》进行响应】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1.7.3.6.路由器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▲4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交换容量≥8Tbps~80Tbps【响应方式：填写《“▲”条款响应表》进行响应】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1.7.3.7.无线控制器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▲5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认证加密支持Private PSK方式的动态密码功能，可以为每终端分配独立秘钥。【响应方式：填写《“▲”条款响应表》进行响应】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1.7.3.8.无线AP：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▲4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物联网⽀持内置物联⽹BLE（蓝⽛）和 RFID 功能模块【响应方式：填写《“▲”条款响应表》进行响应】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1.7.3.9.POE接入交换机：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▲6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Cpu保护实现CPU保护功能，能限制非法报文对CPU的攻击，保护交换机在各种环境下稳定工作【响应方式：填写《“▲”条款响应表》进行响应】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1.7.3.9.POE接入交换机：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▲12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环路阻断实现环路阻断功能，能够快速阻断环路，链路收敛时间≤50ms；【响应方式：填写《“▲”条款响应表》进行响应】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1.8.3.8.数据中心业务万兆交换机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▲6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环路阻断实现环路阻断功能，能够快速阻断环路，链路收敛时间≤50ms【响应方式：填写《“▲”条款响应表》进行响应】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1.8.3.8.数据中心业务万兆交换机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▲10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图形化管理支持智能图形化管理功能，能够实现通过图形化界面设备配置及命令一键下发和版本智能升级，全局配置及网管口配置，设备升级备份、监控及设备故障替换，组网拓扑可视及管理、设备列表展示等功能，【响应方式：填写《“▲”条款响应表》进行响应，同时附上国家认可的第三方检测机构出具的检测报告复印件，对应的检测结果页（加盖制造商印章）】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>国家认可的第三方检测机构出具的检测报告复印件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eastAsia="zh-CN"/>
              </w:rPr>
              <w:t>在投标文件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 页。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1.8.3.9.数据中心存储交换机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环路阻断实现环路阻断功能，能够快速阻断环路，链路收敛时间≤50ms【响应方式：填写《“▲”条款响应表》进行响应】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1.8.3.9.数据中心存储交换机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可视化实配支持INT可视化功能。实时分析INT报文中携带的时间戳分析每台设备和链路的逐跳转发延迟，快速找到拥塞节点。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【响应方式：填写《“▲”条款响应表》进行响应，同时附上国家认可的第三方检测机构出具的检测报告复印件，对应的检测结果页（加盖制造商印章）】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>国家认可的第三方检测机构出具的检测报告复印件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eastAsia="zh-CN"/>
              </w:rPr>
              <w:t>在投标文件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 页。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1.8.3.10.数据中心管理交换机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▲7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Cpu保护实现CPU保护功能，能限制非法报文对CPU的攻击，保护交换机在各种环境下稳定工作【响应方式：填写《“▲”条款响应表》进行响应】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1.8.3.10.数据中心管理交换机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▲13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环路阻断实现环路阻断功能，能够快速阻断环路，链路收敛时间≤50ms【响应方式：填写《“▲”条款响应表》进行响应】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1.11.3.5.数据中心防火墙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▲19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数据安全支持数据防泄露，对传输的文件和内容进行识别过滤，对内容与身份证号、信用卡号、银行卡号、手机号等类型进行匹配。【响应方式：填写《“▲”条款响应表》进行响应】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1.11.3.5.数据中心防火墙：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▲36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为保证系统的稳定，便于管理维护，要求本软件与硬件（指本系统主要设备）为同一品牌。【响应方式：填写《“▲”条款响应表》进行响应】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1.12.6.12.HIS接口软件对接技术要求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▲8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系统可对门诊就诊数据进行统计分析，统计内容包含就诊人数、预约患者人数、现场挂号患者人数、医生的看诊人数、医生的平均看诊时间、初诊患者数量、过号患者数量、复诊患者数量、患者平均就诊时长和患者平均等候时长等。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【响应方式：填写《“▲”条款响应表》进行响应，同时附上国家认可的第三方检测机构出具的检测报告复印件，对应的检测结果页（加盖制造商印章）】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>国家认可的第三方检测机构出具的检测报告复印件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eastAsia="zh-CN"/>
              </w:rPr>
              <w:t>在投标文件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 页。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1.12.6.12.HIS接口软件对接技术要求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▲9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投标人需提供投标产品制造商盖章的HIS接口对接软件的软件著作权证书复印件。【响应方式：填写《“▲”条款响应表》进行响应，同时附上上述要求的资料】</w:t>
            </w: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说明：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1.供应商（投标人）应当如实填写上表内容，对采购文件提出的要求和条件作出明确响应。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2.采购需求中标注“▲”的条款，若有任何不响应或不满足或负偏离（或相同含义）的，将影响得分。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3.“备注”处可视情况填写偏离情况的说明。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4.若供应商（投标人）除填写本表外还在投标文件其他地方同时对条款进行响应，则响应内容以本表为准。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5.本表中“采购需求中‘▲’条款内容”的填写若与招标文件第二章“采购需求”中的表述不一致，以“采购需求”中的表述为准。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lang w:val="en-US" w:eastAsia="zh-CN" w:bidi="ar-SA"/>
        </w:rPr>
        <w:t>6.采购需求中带“▲”的条款中如有要求提供证明材料的，投标文件中须按要求附上证明资料，否则视为不满足。</w:t>
      </w:r>
    </w:p>
    <w:p>
      <w:pPr>
        <w:spacing w:line="360" w:lineRule="auto"/>
        <w:jc w:val="righ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供应商（投标人）名称（盖章）：__________________</w:t>
      </w:r>
    </w:p>
    <w:p>
      <w:pPr>
        <w:spacing w:line="360" w:lineRule="auto"/>
        <w:jc w:val="righ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Hans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 xml:space="preserve"> 日  期：__________________</w:t>
      </w:r>
    </w:p>
    <w:sectPr>
      <w:footerReference r:id="rId3" w:type="default"/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ZDkxYzA2NGM4YmZkMmZlZmQ2MTdhOTVmYjRkMjMifQ=="/>
  </w:docVars>
  <w:rsids>
    <w:rsidRoot w:val="53B52B8D"/>
    <w:rsid w:val="177F50ED"/>
    <w:rsid w:val="1BC612BA"/>
    <w:rsid w:val="3F734125"/>
    <w:rsid w:val="4DB79D78"/>
    <w:rsid w:val="53B52B8D"/>
    <w:rsid w:val="5B30E278"/>
    <w:rsid w:val="5BBA949F"/>
    <w:rsid w:val="5D9D960E"/>
    <w:rsid w:val="5F775268"/>
    <w:rsid w:val="6DFB86EB"/>
    <w:rsid w:val="762F5006"/>
    <w:rsid w:val="77F79321"/>
    <w:rsid w:val="7945C82E"/>
    <w:rsid w:val="7CFCC98E"/>
    <w:rsid w:val="7F77F568"/>
    <w:rsid w:val="7FFB08F1"/>
    <w:rsid w:val="BBBF7779"/>
    <w:rsid w:val="BDF9558B"/>
    <w:rsid w:val="DC6EB692"/>
    <w:rsid w:val="DCDF3E99"/>
    <w:rsid w:val="DDE51F13"/>
    <w:rsid w:val="DEEFCF16"/>
    <w:rsid w:val="DF7FF161"/>
    <w:rsid w:val="E77DC169"/>
    <w:rsid w:val="EB76AA7E"/>
    <w:rsid w:val="EDFB2053"/>
    <w:rsid w:val="EFD77263"/>
    <w:rsid w:val="F9EC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cs="Times New Roman"/>
      <w:kern w:val="0"/>
      <w:sz w:val="24"/>
      <w:szCs w:val="24"/>
    </w:rPr>
  </w:style>
  <w:style w:type="paragraph" w:styleId="3">
    <w:name w:val="toc 5"/>
    <w:basedOn w:val="1"/>
    <w:next w:val="1"/>
    <w:qFormat/>
    <w:uiPriority w:val="0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385</Words>
  <Characters>425</Characters>
  <Lines>0</Lines>
  <Paragraphs>0</Paragraphs>
  <TotalTime>0</TotalTime>
  <ScaleCrop>false</ScaleCrop>
  <LinksUpToDate>false</LinksUpToDate>
  <CharactersWithSpaces>428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2022-04-12T19:57:00Z</dcterms:created>
  <dc:creator>五块钱</dc:creator>
  <cp:lastModifiedBy>user</cp:lastModifiedBy>
  <dcterms:modified xsi:type="dcterms:W3CDTF">2024-07-02T18:43:32Z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A83D61FA36CF4E15B2BEF262B320306A_12</vt:lpwstr>
  </property>
</Properties>
</file>