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C0D95">
      <w:pPr>
        <w:pStyle w:val="42"/>
        <w:ind w:firstLine="210"/>
        <w:rPr>
          <w:rFonts w:hint="eastAsia" w:asciiTheme="minorEastAsia" w:hAnsiTheme="minorEastAsia" w:eastAsiaTheme="minorEastAsia" w:cstheme="minorEastAsia"/>
          <w:color w:val="auto"/>
          <w:sz w:val="21"/>
          <w:szCs w:val="21"/>
          <w:highlight w:val="none"/>
          <w:lang w:eastAsia="zh-CN"/>
        </w:rPr>
      </w:pPr>
    </w:p>
    <w:p w14:paraId="1052666B">
      <w:pPr>
        <w:spacing w:line="500" w:lineRule="exact"/>
        <w:jc w:val="both"/>
        <w:rPr>
          <w:rFonts w:hint="eastAsia" w:asciiTheme="minorEastAsia" w:hAnsiTheme="minorEastAsia" w:eastAsiaTheme="minorEastAsia" w:cstheme="minorEastAsia"/>
          <w:b/>
          <w:color w:val="auto"/>
          <w:spacing w:val="80"/>
          <w:sz w:val="21"/>
          <w:szCs w:val="21"/>
          <w:highlight w:val="none"/>
        </w:rPr>
      </w:pPr>
    </w:p>
    <w:p w14:paraId="6C64CE5C">
      <w:pPr>
        <w:spacing w:line="500" w:lineRule="exact"/>
        <w:jc w:val="center"/>
        <w:rPr>
          <w:rFonts w:hint="eastAsia" w:asciiTheme="minorEastAsia" w:hAnsiTheme="minorEastAsia" w:eastAsiaTheme="minorEastAsia" w:cstheme="minorEastAsia"/>
          <w:b/>
          <w:color w:val="auto"/>
          <w:spacing w:val="80"/>
          <w:sz w:val="21"/>
          <w:szCs w:val="21"/>
          <w:highlight w:val="none"/>
        </w:rPr>
      </w:pPr>
    </w:p>
    <w:p w14:paraId="1ADE027E">
      <w:pPr>
        <w:keepNext w:val="0"/>
        <w:keepLines w:val="0"/>
        <w:pageBreakBefore w:val="0"/>
        <w:widowControl/>
        <w:kinsoku/>
        <w:wordWrap/>
        <w:overflowPunct/>
        <w:topLinePunct w:val="0"/>
        <w:autoSpaceDE/>
        <w:autoSpaceDN/>
        <w:bidi w:val="0"/>
        <w:adjustRightInd/>
        <w:snapToGrid/>
        <w:spacing w:line="360" w:lineRule="auto"/>
        <w:ind w:left="0" w:hanging="880" w:hangingChars="200"/>
        <w:jc w:val="center"/>
        <w:textAlignment w:val="auto"/>
        <w:rPr>
          <w:rFonts w:hint="eastAsia" w:asciiTheme="minorEastAsia" w:hAnsiTheme="minorEastAsia" w:eastAsiaTheme="minorEastAsia" w:cstheme="minorEastAsia"/>
          <w:bCs/>
          <w:color w:val="auto"/>
          <w:sz w:val="44"/>
          <w:szCs w:val="44"/>
          <w:highlight w:val="none"/>
          <w:lang w:eastAsia="zh-CN"/>
        </w:rPr>
      </w:pPr>
      <w:r>
        <w:rPr>
          <w:rFonts w:hint="eastAsia" w:asciiTheme="minorEastAsia" w:hAnsiTheme="minorEastAsia" w:eastAsiaTheme="minorEastAsia" w:cstheme="minorEastAsia"/>
          <w:bCs/>
          <w:color w:val="auto"/>
          <w:sz w:val="44"/>
          <w:szCs w:val="44"/>
          <w:highlight w:val="none"/>
        </w:rPr>
        <w:t xml:space="preserve">  中山市古镇人民医院</w:t>
      </w:r>
      <w:r>
        <w:rPr>
          <w:rFonts w:hint="eastAsia" w:asciiTheme="minorEastAsia" w:hAnsiTheme="minorEastAsia" w:eastAsiaTheme="minorEastAsia" w:cstheme="minorEastAsia"/>
          <w:bCs/>
          <w:color w:val="auto"/>
          <w:sz w:val="44"/>
          <w:szCs w:val="44"/>
          <w:highlight w:val="none"/>
          <w:lang w:eastAsia="zh-CN"/>
        </w:rPr>
        <w:t>PACS扩容网络存储设备采购项目</w:t>
      </w:r>
    </w:p>
    <w:p w14:paraId="2159D1AC">
      <w:pPr>
        <w:pStyle w:val="42"/>
        <w:ind w:firstLine="210"/>
        <w:rPr>
          <w:rFonts w:hint="eastAsia" w:asciiTheme="minorEastAsia" w:hAnsiTheme="minorEastAsia" w:eastAsiaTheme="minorEastAsia" w:cstheme="minorEastAsia"/>
          <w:color w:val="auto"/>
          <w:sz w:val="44"/>
          <w:szCs w:val="44"/>
          <w:highlight w:val="none"/>
        </w:rPr>
      </w:pPr>
    </w:p>
    <w:p w14:paraId="220B5417">
      <w:pPr>
        <w:jc w:val="center"/>
        <w:rPr>
          <w:rFonts w:hint="eastAsia" w:asciiTheme="minorEastAsia" w:hAnsiTheme="minorEastAsia" w:eastAsiaTheme="minorEastAsia" w:cstheme="minorEastAsia"/>
          <w:b w:val="0"/>
          <w:bCs w:val="0"/>
          <w:color w:val="auto"/>
          <w:sz w:val="32"/>
          <w:szCs w:val="32"/>
          <w:highlight w:val="none"/>
        </w:rPr>
      </w:pPr>
      <w:r>
        <w:rPr>
          <w:rFonts w:hint="eastAsia" w:asciiTheme="minorEastAsia" w:hAnsiTheme="minorEastAsia" w:eastAsiaTheme="minorEastAsia" w:cstheme="minorEastAsia"/>
          <w:b w:val="0"/>
          <w:bCs w:val="0"/>
          <w:color w:val="auto"/>
          <w:sz w:val="32"/>
          <w:szCs w:val="32"/>
          <w:highlight w:val="none"/>
        </w:rPr>
        <w:t>（项目编号：</w:t>
      </w:r>
      <w:r>
        <w:rPr>
          <w:rFonts w:hint="eastAsia" w:asciiTheme="minorEastAsia" w:hAnsiTheme="minorEastAsia" w:eastAsiaTheme="minorEastAsia" w:cstheme="minorEastAsia"/>
          <w:b w:val="0"/>
          <w:bCs w:val="0"/>
          <w:color w:val="auto"/>
          <w:sz w:val="32"/>
          <w:szCs w:val="32"/>
          <w:highlight w:val="none"/>
          <w:lang w:val="en-US" w:eastAsia="zh-CN"/>
        </w:rPr>
        <w:t>GYCG-XXK</w:t>
      </w:r>
      <w:r>
        <w:rPr>
          <w:rFonts w:hint="eastAsia" w:asciiTheme="minorEastAsia" w:hAnsiTheme="minorEastAsia" w:eastAsiaTheme="minorEastAsia" w:cstheme="minorEastAsia"/>
          <w:b w:val="0"/>
          <w:bCs w:val="0"/>
          <w:color w:val="auto"/>
          <w:sz w:val="32"/>
          <w:szCs w:val="32"/>
          <w:highlight w:val="none"/>
        </w:rPr>
        <w:t>-202</w:t>
      </w:r>
      <w:r>
        <w:rPr>
          <w:rFonts w:hint="eastAsia" w:asciiTheme="minorEastAsia" w:hAnsiTheme="minorEastAsia" w:eastAsiaTheme="minorEastAsia" w:cstheme="minorEastAsia"/>
          <w:b w:val="0"/>
          <w:bCs w:val="0"/>
          <w:color w:val="auto"/>
          <w:sz w:val="32"/>
          <w:szCs w:val="32"/>
          <w:highlight w:val="none"/>
          <w:lang w:val="en-US" w:eastAsia="zh-CN"/>
        </w:rPr>
        <w:t>60804</w:t>
      </w:r>
      <w:r>
        <w:rPr>
          <w:rFonts w:hint="eastAsia" w:asciiTheme="minorEastAsia" w:hAnsiTheme="minorEastAsia" w:eastAsiaTheme="minorEastAsia" w:cstheme="minorEastAsia"/>
          <w:b w:val="0"/>
          <w:bCs w:val="0"/>
          <w:color w:val="auto"/>
          <w:sz w:val="32"/>
          <w:szCs w:val="32"/>
          <w:highlight w:val="none"/>
        </w:rPr>
        <w:t>）</w:t>
      </w:r>
    </w:p>
    <w:p w14:paraId="1A804A6E">
      <w:pPr>
        <w:pStyle w:val="42"/>
        <w:ind w:firstLine="280"/>
        <w:rPr>
          <w:rFonts w:hint="eastAsia" w:asciiTheme="minorEastAsia" w:hAnsiTheme="minorEastAsia" w:eastAsiaTheme="minorEastAsia" w:cstheme="minorEastAsia"/>
          <w:bCs/>
          <w:color w:val="auto"/>
          <w:sz w:val="21"/>
          <w:szCs w:val="21"/>
          <w:highlight w:val="none"/>
        </w:rPr>
      </w:pPr>
    </w:p>
    <w:p w14:paraId="358A7A89">
      <w:pPr>
        <w:pStyle w:val="42"/>
        <w:ind w:firstLine="440"/>
        <w:rPr>
          <w:rFonts w:hint="eastAsia" w:asciiTheme="minorEastAsia" w:hAnsiTheme="minorEastAsia" w:eastAsiaTheme="minorEastAsia" w:cstheme="minorEastAsia"/>
          <w:bCs/>
          <w:color w:val="auto"/>
          <w:sz w:val="21"/>
          <w:szCs w:val="21"/>
          <w:highlight w:val="none"/>
        </w:rPr>
      </w:pPr>
    </w:p>
    <w:p w14:paraId="624D54C2">
      <w:pPr>
        <w:pStyle w:val="42"/>
        <w:ind w:firstLine="440"/>
        <w:rPr>
          <w:rFonts w:hint="eastAsia" w:asciiTheme="minorEastAsia" w:hAnsiTheme="minorEastAsia" w:eastAsiaTheme="minorEastAsia" w:cstheme="minorEastAsia"/>
          <w:bCs/>
          <w:color w:val="auto"/>
          <w:sz w:val="21"/>
          <w:szCs w:val="21"/>
          <w:highlight w:val="none"/>
        </w:rPr>
      </w:pPr>
    </w:p>
    <w:p w14:paraId="598D5E06">
      <w:pPr>
        <w:jc w:val="center"/>
        <w:rPr>
          <w:rFonts w:hint="eastAsia" w:asciiTheme="minorEastAsia" w:hAnsiTheme="minorEastAsia" w:eastAsiaTheme="minorEastAsia" w:cstheme="minorEastAsia"/>
          <w:color w:val="auto"/>
          <w:sz w:val="44"/>
          <w:szCs w:val="44"/>
          <w:highlight w:val="none"/>
        </w:rPr>
      </w:pPr>
    </w:p>
    <w:p w14:paraId="7AB9356C">
      <w:pPr>
        <w:jc w:val="center"/>
        <w:rPr>
          <w:rFonts w:hint="eastAsia" w:asciiTheme="minorEastAsia" w:hAnsiTheme="minorEastAsia" w:eastAsiaTheme="minorEastAsia" w:cstheme="minorEastAsia"/>
          <w:color w:val="auto"/>
          <w:sz w:val="84"/>
          <w:szCs w:val="84"/>
          <w:highlight w:val="none"/>
        </w:rPr>
      </w:pPr>
      <w:r>
        <w:rPr>
          <w:rFonts w:hint="eastAsia" w:asciiTheme="minorEastAsia" w:hAnsiTheme="minorEastAsia" w:eastAsiaTheme="minorEastAsia" w:cstheme="minorEastAsia"/>
          <w:b/>
          <w:bCs/>
          <w:color w:val="auto"/>
          <w:spacing w:val="60"/>
          <w:sz w:val="84"/>
          <w:szCs w:val="84"/>
          <w:highlight w:val="none"/>
        </w:rPr>
        <w:t>采购文件</w:t>
      </w:r>
    </w:p>
    <w:p w14:paraId="514EFB42">
      <w:pPr>
        <w:pStyle w:val="42"/>
        <w:ind w:firstLine="520"/>
        <w:rPr>
          <w:rFonts w:hint="eastAsia" w:asciiTheme="minorEastAsia" w:hAnsiTheme="minorEastAsia" w:eastAsiaTheme="minorEastAsia" w:cstheme="minorEastAsia"/>
          <w:color w:val="auto"/>
          <w:sz w:val="44"/>
          <w:szCs w:val="44"/>
          <w:highlight w:val="none"/>
        </w:rPr>
      </w:pPr>
    </w:p>
    <w:p w14:paraId="4FDE92BE">
      <w:pPr>
        <w:pStyle w:val="42"/>
        <w:ind w:firstLine="520"/>
        <w:rPr>
          <w:rFonts w:hint="eastAsia" w:asciiTheme="minorEastAsia" w:hAnsiTheme="minorEastAsia" w:eastAsiaTheme="minorEastAsia" w:cstheme="minorEastAsia"/>
          <w:color w:val="auto"/>
          <w:sz w:val="44"/>
          <w:szCs w:val="44"/>
          <w:highlight w:val="none"/>
          <w:lang w:eastAsia="zh-CN"/>
        </w:rPr>
      </w:pPr>
    </w:p>
    <w:p w14:paraId="584FD3C8">
      <w:pPr>
        <w:pStyle w:val="42"/>
        <w:ind w:firstLine="520"/>
        <w:rPr>
          <w:rFonts w:hint="eastAsia" w:asciiTheme="minorEastAsia" w:hAnsiTheme="minorEastAsia" w:eastAsiaTheme="minorEastAsia" w:cstheme="minorEastAsia"/>
          <w:color w:val="auto"/>
          <w:sz w:val="44"/>
          <w:szCs w:val="44"/>
          <w:highlight w:val="none"/>
          <w:lang w:eastAsia="zh-CN"/>
        </w:rPr>
      </w:pPr>
    </w:p>
    <w:p w14:paraId="7C9FD7AA">
      <w:pPr>
        <w:pStyle w:val="42"/>
        <w:ind w:firstLine="520"/>
        <w:rPr>
          <w:rFonts w:hint="eastAsia" w:asciiTheme="minorEastAsia" w:hAnsiTheme="minorEastAsia" w:eastAsiaTheme="minorEastAsia" w:cstheme="minorEastAsia"/>
          <w:color w:val="auto"/>
          <w:sz w:val="44"/>
          <w:szCs w:val="44"/>
          <w:highlight w:val="none"/>
          <w:lang w:eastAsia="zh-CN"/>
        </w:rPr>
      </w:pPr>
    </w:p>
    <w:p w14:paraId="701C9FFF">
      <w:pPr>
        <w:rPr>
          <w:rFonts w:hint="eastAsia" w:asciiTheme="minorEastAsia" w:hAnsiTheme="minorEastAsia" w:eastAsiaTheme="minorEastAsia" w:cstheme="minorEastAsia"/>
          <w:color w:val="auto"/>
          <w:sz w:val="36"/>
          <w:szCs w:val="36"/>
          <w:highlight w:val="none"/>
        </w:rPr>
      </w:pPr>
    </w:p>
    <w:p w14:paraId="0E9813C1">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中山市古镇人民医院</w:t>
      </w:r>
    </w:p>
    <w:p w14:paraId="7AFAE677">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二○二</w:t>
      </w:r>
      <w:r>
        <w:rPr>
          <w:rFonts w:hint="eastAsia" w:asciiTheme="minorEastAsia" w:hAnsiTheme="minorEastAsia" w:eastAsiaTheme="minorEastAsia" w:cstheme="minorEastAsia"/>
          <w:b/>
          <w:bCs/>
          <w:color w:val="auto"/>
          <w:sz w:val="36"/>
          <w:szCs w:val="36"/>
          <w:highlight w:val="none"/>
          <w:lang w:val="en-US" w:eastAsia="zh-CN"/>
        </w:rPr>
        <w:t>六</w:t>
      </w:r>
      <w:r>
        <w:rPr>
          <w:rFonts w:hint="eastAsia" w:asciiTheme="minorEastAsia" w:hAnsiTheme="minorEastAsia" w:eastAsiaTheme="minorEastAsia" w:cstheme="minorEastAsia"/>
          <w:b/>
          <w:bCs/>
          <w:color w:val="auto"/>
          <w:sz w:val="36"/>
          <w:szCs w:val="36"/>
          <w:highlight w:val="none"/>
        </w:rPr>
        <w:t>年</w:t>
      </w:r>
      <w:r>
        <w:rPr>
          <w:rFonts w:hint="eastAsia" w:asciiTheme="minorEastAsia" w:hAnsiTheme="minorEastAsia" w:eastAsiaTheme="minorEastAsia" w:cstheme="minorEastAsia"/>
          <w:b/>
          <w:bCs/>
          <w:color w:val="auto"/>
          <w:sz w:val="36"/>
          <w:szCs w:val="36"/>
          <w:highlight w:val="none"/>
          <w:lang w:val="en-US" w:eastAsia="zh-CN"/>
        </w:rPr>
        <w:t>八</w:t>
      </w:r>
      <w:r>
        <w:rPr>
          <w:rFonts w:hint="eastAsia" w:asciiTheme="minorEastAsia" w:hAnsiTheme="minorEastAsia" w:eastAsiaTheme="minorEastAsia" w:cstheme="minorEastAsia"/>
          <w:b/>
          <w:bCs/>
          <w:color w:val="auto"/>
          <w:sz w:val="36"/>
          <w:szCs w:val="36"/>
          <w:highlight w:val="none"/>
        </w:rPr>
        <w:t>月</w:t>
      </w:r>
      <w:r>
        <w:rPr>
          <w:rFonts w:hint="eastAsia" w:asciiTheme="minorEastAsia" w:hAnsiTheme="minorEastAsia" w:eastAsiaTheme="minorEastAsia" w:cstheme="minorEastAsia"/>
          <w:color w:val="auto"/>
          <w:sz w:val="36"/>
          <w:szCs w:val="36"/>
          <w:highlight w:val="none"/>
        </w:rPr>
        <w:t xml:space="preserve"> </w:t>
      </w:r>
    </w:p>
    <w:p w14:paraId="0E48BD0E">
      <w:pPr>
        <w:pStyle w:val="90"/>
        <w:jc w:val="left"/>
        <w:rPr>
          <w:rFonts w:hint="eastAsia" w:asciiTheme="minorEastAsia" w:hAnsiTheme="minorEastAsia" w:eastAsiaTheme="minorEastAsia" w:cstheme="minorEastAsia"/>
          <w:color w:val="auto"/>
          <w:sz w:val="21"/>
          <w:szCs w:val="21"/>
          <w:highlight w:val="none"/>
        </w:rPr>
        <w:sectPr>
          <w:headerReference r:id="rId5"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linePitch="312" w:charSpace="0"/>
        </w:sectPr>
      </w:pPr>
    </w:p>
    <w:p w14:paraId="5E954DCA">
      <w:pPr>
        <w:pStyle w:val="90"/>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color w:val="auto"/>
          <w:sz w:val="32"/>
          <w:szCs w:val="32"/>
          <w:highlight w:val="none"/>
        </w:rPr>
      </w:pPr>
      <w:r>
        <w:rPr>
          <w:rFonts w:hint="eastAsia"/>
          <w:color w:val="auto"/>
          <w:sz w:val="32"/>
          <w:szCs w:val="32"/>
          <w:highlight w:val="none"/>
          <w:lang w:val="en-US" w:eastAsia="zh-CN"/>
        </w:rPr>
        <w:t>一、</w:t>
      </w:r>
      <w:r>
        <w:rPr>
          <w:rFonts w:hint="eastAsia"/>
          <w:color w:val="auto"/>
          <w:sz w:val="32"/>
          <w:szCs w:val="32"/>
          <w:highlight w:val="none"/>
        </w:rPr>
        <w:t>采购邀请函</w:t>
      </w:r>
    </w:p>
    <w:p w14:paraId="6E9A4F0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b/>
          <w:bCs/>
          <w:color w:val="auto"/>
          <w:kern w:val="28"/>
          <w:szCs w:val="21"/>
          <w:highlight w:val="none"/>
        </w:rPr>
      </w:pPr>
      <w:r>
        <w:rPr>
          <w:rFonts w:hint="eastAsia" w:ascii="宋体" w:hAnsi="宋体"/>
          <w:b/>
          <w:bCs/>
          <w:color w:val="auto"/>
          <w:kern w:val="28"/>
          <w:szCs w:val="21"/>
          <w:highlight w:val="none"/>
        </w:rPr>
        <w:t>各潜在供应商：</w:t>
      </w:r>
    </w:p>
    <w:p w14:paraId="73DF665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color w:val="auto"/>
          <w:kern w:val="28"/>
          <w:szCs w:val="21"/>
          <w:highlight w:val="none"/>
        </w:rPr>
      </w:pPr>
      <w:r>
        <w:rPr>
          <w:rFonts w:hint="eastAsia" w:ascii="宋体" w:hAnsi="宋体"/>
          <w:bCs/>
          <w:color w:val="auto"/>
          <w:kern w:val="28"/>
          <w:szCs w:val="21"/>
          <w:highlight w:val="none"/>
        </w:rPr>
        <w:t>中山市古镇人民医院对</w:t>
      </w:r>
      <w:r>
        <w:rPr>
          <w:rFonts w:hint="eastAsia" w:asciiTheme="minorEastAsia" w:hAnsiTheme="minorEastAsia" w:eastAsiaTheme="minorEastAsia" w:cstheme="minorEastAsia"/>
          <w:bCs/>
          <w:color w:val="auto"/>
          <w:kern w:val="28"/>
          <w:sz w:val="21"/>
          <w:szCs w:val="21"/>
          <w:highlight w:val="none"/>
          <w:lang w:eastAsia="zh-CN"/>
        </w:rPr>
        <w:t>PACS扩容网络存储设备采购项目</w:t>
      </w:r>
      <w:r>
        <w:rPr>
          <w:rFonts w:hint="eastAsia" w:ascii="宋体" w:hAnsi="宋体" w:eastAsia="宋体" w:cs="Times New Roman"/>
          <w:bCs/>
          <w:color w:val="auto"/>
          <w:kern w:val="28"/>
          <w:szCs w:val="21"/>
          <w:highlight w:val="none"/>
        </w:rPr>
        <w:t>进行</w:t>
      </w:r>
      <w:r>
        <w:rPr>
          <w:rFonts w:hint="eastAsia" w:ascii="宋体" w:hAnsi="宋体" w:eastAsia="宋体" w:cs="Times New Roman"/>
          <w:bCs/>
          <w:color w:val="auto"/>
          <w:kern w:val="28"/>
          <w:szCs w:val="21"/>
          <w:highlight w:val="none"/>
          <w:lang w:val="en-US" w:eastAsia="zh-CN"/>
        </w:rPr>
        <w:t>采</w:t>
      </w:r>
      <w:r>
        <w:rPr>
          <w:rFonts w:hint="eastAsia" w:ascii="宋体" w:hAnsi="宋体" w:eastAsia="宋体" w:cs="Times New Roman"/>
          <w:bCs/>
          <w:color w:val="auto"/>
          <w:kern w:val="28"/>
          <w:szCs w:val="21"/>
          <w:highlight w:val="none"/>
        </w:rPr>
        <w:t>购，欢迎符合资格条件的报价人报价。</w:t>
      </w:r>
    </w:p>
    <w:p w14:paraId="6CB6E0FE">
      <w:pPr>
        <w:keepNext w:val="0"/>
        <w:keepLines w:val="0"/>
        <w:pageBreakBefore w:val="0"/>
        <w:numPr>
          <w:ilvl w:val="0"/>
          <w:numId w:val="3"/>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bCs/>
          <w:color w:val="auto"/>
          <w:szCs w:val="21"/>
          <w:highlight w:val="none"/>
          <w:lang w:eastAsia="zh-CN"/>
        </w:rPr>
      </w:pPr>
      <w:r>
        <w:rPr>
          <w:rFonts w:hint="eastAsia" w:ascii="宋体" w:hAnsi="宋体"/>
          <w:b w:val="0"/>
          <w:bCs/>
          <w:color w:val="auto"/>
          <w:kern w:val="28"/>
          <w:szCs w:val="21"/>
          <w:highlight w:val="none"/>
        </w:rPr>
        <w:t>项目名称：</w:t>
      </w:r>
      <w:r>
        <w:rPr>
          <w:rFonts w:hint="eastAsia" w:ascii="宋体" w:hAnsi="宋体"/>
          <w:bCs/>
          <w:color w:val="auto"/>
          <w:kern w:val="28"/>
          <w:szCs w:val="21"/>
          <w:highlight w:val="none"/>
          <w:lang w:eastAsia="zh-CN"/>
        </w:rPr>
        <w:t>中山市古镇人民医院</w:t>
      </w:r>
      <w:r>
        <w:rPr>
          <w:rFonts w:hint="eastAsia" w:asciiTheme="minorEastAsia" w:hAnsiTheme="minorEastAsia" w:eastAsiaTheme="minorEastAsia" w:cstheme="minorEastAsia"/>
          <w:bCs/>
          <w:color w:val="auto"/>
          <w:kern w:val="28"/>
          <w:sz w:val="21"/>
          <w:szCs w:val="21"/>
          <w:highlight w:val="none"/>
          <w:lang w:eastAsia="zh-CN"/>
        </w:rPr>
        <w:t>PACS扩容网络存储设备采购项目</w:t>
      </w:r>
      <w:r>
        <w:rPr>
          <w:rFonts w:hint="eastAsia" w:ascii="宋体" w:hAnsi="宋体"/>
          <w:bCs/>
          <w:color w:val="auto"/>
          <w:szCs w:val="21"/>
          <w:highlight w:val="none"/>
          <w:lang w:eastAsia="zh-CN"/>
        </w:rPr>
        <w:t>。</w:t>
      </w:r>
    </w:p>
    <w:p w14:paraId="7A9DF178">
      <w:pPr>
        <w:keepNext w:val="0"/>
        <w:keepLines w:val="0"/>
        <w:pageBreakBefore w:val="0"/>
        <w:numPr>
          <w:ilvl w:val="0"/>
          <w:numId w:val="3"/>
        </w:numPr>
        <w:tabs>
          <w:tab w:val="left" w:pos="530"/>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val="0"/>
          <w:bCs w:val="0"/>
          <w:color w:val="auto"/>
          <w:spacing w:val="2"/>
          <w:sz w:val="21"/>
          <w:szCs w:val="21"/>
          <w:highlight w:val="none"/>
        </w:rPr>
      </w:pPr>
      <w:r>
        <w:rPr>
          <w:rFonts w:hint="eastAsia" w:ascii="宋体" w:hAnsi="宋体"/>
          <w:bCs/>
          <w:color w:val="auto"/>
          <w:szCs w:val="21"/>
          <w:highlight w:val="none"/>
        </w:rPr>
        <w:t>采购上限价：该项目采购上限价为人民币</w:t>
      </w:r>
      <w:r>
        <w:rPr>
          <w:rFonts w:hint="eastAsia" w:ascii="宋体" w:hAnsi="宋体"/>
          <w:bCs/>
          <w:color w:val="auto"/>
          <w:szCs w:val="21"/>
          <w:highlight w:val="none"/>
          <w:lang w:val="en-US" w:eastAsia="zh-CN"/>
        </w:rPr>
        <w:t>80000</w:t>
      </w:r>
      <w:r>
        <w:rPr>
          <w:rFonts w:hint="eastAsia" w:ascii="宋体" w:hAnsi="宋体"/>
          <w:bCs/>
          <w:color w:val="auto"/>
          <w:szCs w:val="21"/>
          <w:highlight w:val="none"/>
        </w:rPr>
        <w:t>元</w:t>
      </w:r>
      <w:r>
        <w:rPr>
          <w:rFonts w:hint="eastAsia" w:ascii="宋体" w:hAnsi="宋体"/>
          <w:bCs/>
          <w:color w:val="auto"/>
          <w:szCs w:val="21"/>
          <w:highlight w:val="none"/>
          <w:lang w:eastAsia="zh-CN"/>
        </w:rPr>
        <w:t>（</w:t>
      </w:r>
      <w:r>
        <w:rPr>
          <w:rFonts w:hint="eastAsia" w:ascii="宋体" w:hAnsi="宋体"/>
          <w:bCs/>
          <w:color w:val="auto"/>
          <w:szCs w:val="21"/>
          <w:highlight w:val="none"/>
        </w:rPr>
        <w:t>含税</w:t>
      </w:r>
      <w:r>
        <w:rPr>
          <w:rFonts w:hint="eastAsia" w:ascii="宋体" w:hAnsi="宋体"/>
          <w:bCs/>
          <w:color w:val="auto"/>
          <w:szCs w:val="21"/>
          <w:highlight w:val="none"/>
          <w:lang w:eastAsia="zh-CN"/>
        </w:rPr>
        <w:t>）</w:t>
      </w:r>
      <w:r>
        <w:rPr>
          <w:rFonts w:hint="eastAsia" w:ascii="宋体" w:hAnsi="宋体"/>
          <w:bCs/>
          <w:color w:val="auto"/>
          <w:szCs w:val="21"/>
          <w:highlight w:val="none"/>
        </w:rPr>
        <w:t>。</w:t>
      </w:r>
    </w:p>
    <w:p w14:paraId="1A5BAD8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color w:val="auto"/>
          <w:highlight w:val="none"/>
        </w:rPr>
      </w:pPr>
      <w:r>
        <w:rPr>
          <w:rFonts w:hint="eastAsia" w:asciiTheme="minorEastAsia" w:hAnsiTheme="minorEastAsia" w:eastAsiaTheme="minorEastAsia" w:cstheme="minorEastAsia"/>
          <w:b/>
          <w:bCs/>
          <w:color w:val="auto"/>
          <w:spacing w:val="2"/>
          <w:sz w:val="21"/>
          <w:szCs w:val="21"/>
          <w:highlight w:val="none"/>
          <w:lang w:val="en-US" w:eastAsia="zh-CN"/>
        </w:rPr>
        <w:t>三、</w:t>
      </w:r>
      <w:r>
        <w:rPr>
          <w:rFonts w:hint="eastAsia" w:ascii="宋体" w:hAnsi="宋体"/>
          <w:bCs/>
          <w:color w:val="auto"/>
          <w:szCs w:val="21"/>
          <w:highlight w:val="none"/>
        </w:rPr>
        <w:t>采购说明：</w:t>
      </w:r>
    </w:p>
    <w:p w14:paraId="59F1CC7E">
      <w:pPr>
        <w:keepNext w:val="0"/>
        <w:keepLines w:val="0"/>
        <w:pageBreakBefore w:val="0"/>
        <w:numPr>
          <w:ilvl w:val="0"/>
          <w:numId w:val="0"/>
        </w:numPr>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1.</w:t>
      </w:r>
      <w:r>
        <w:rPr>
          <w:rFonts w:hint="eastAsia" w:ascii="宋体" w:hAnsi="宋体"/>
          <w:bCs/>
          <w:color w:val="auto"/>
          <w:szCs w:val="21"/>
          <w:highlight w:val="none"/>
        </w:rPr>
        <w:t>该项目报价要求各报价供应商报项目总价，报价超出采购上限价的供应商作无效报价。</w:t>
      </w:r>
    </w:p>
    <w:p w14:paraId="1C948F1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2.</w:t>
      </w:r>
      <w:r>
        <w:rPr>
          <w:rFonts w:hint="eastAsia" w:ascii="宋体" w:hAnsi="宋体"/>
          <w:bCs/>
          <w:color w:val="auto"/>
          <w:szCs w:val="21"/>
          <w:highlight w:val="none"/>
        </w:rPr>
        <w:t>确定中选供应商方式：报名成功后的单位均进入报价环节，在规定的时间地点递交报价文件，合格报名供应商达到三家及以上的，采用</w:t>
      </w:r>
      <w:r>
        <w:rPr>
          <w:rFonts w:hint="eastAsia" w:ascii="宋体" w:hAnsi="宋体"/>
          <w:b/>
          <w:bCs w:val="0"/>
          <w:color w:val="auto"/>
          <w:szCs w:val="21"/>
          <w:highlight w:val="none"/>
        </w:rPr>
        <w:t>综合评分</w:t>
      </w:r>
      <w:r>
        <w:rPr>
          <w:rFonts w:hint="eastAsia" w:ascii="宋体" w:hAnsi="宋体"/>
          <w:bCs/>
          <w:color w:val="auto"/>
          <w:szCs w:val="21"/>
          <w:highlight w:val="none"/>
        </w:rPr>
        <w:t>方式采购，以</w:t>
      </w:r>
      <w:r>
        <w:rPr>
          <w:rFonts w:hint="eastAsia" w:ascii="宋体" w:hAnsi="宋体"/>
          <w:b/>
          <w:bCs w:val="0"/>
          <w:color w:val="auto"/>
          <w:szCs w:val="21"/>
          <w:highlight w:val="none"/>
        </w:rPr>
        <w:t>最高综合评分</w:t>
      </w:r>
      <w:r>
        <w:rPr>
          <w:rFonts w:hint="eastAsia" w:ascii="宋体" w:hAnsi="宋体"/>
          <w:bCs/>
          <w:color w:val="auto"/>
          <w:szCs w:val="21"/>
          <w:highlight w:val="none"/>
        </w:rPr>
        <w:t>中选（若报价单位所综合评分相同的，将采用摇珠或者抽签方式选定最终中选单位）。</w:t>
      </w:r>
      <w:r>
        <w:rPr>
          <w:rFonts w:hint="eastAsia" w:ascii="宋体" w:hAnsi="宋体"/>
          <w:bCs/>
          <w:color w:val="auto"/>
          <w:szCs w:val="21"/>
          <w:highlight w:val="none"/>
          <w:lang w:val="en-US" w:eastAsia="zh-CN"/>
        </w:rPr>
        <w:t xml:space="preserve">    </w:t>
      </w:r>
    </w:p>
    <w:p w14:paraId="21177A6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采购过程中</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报名参与的供应商不足3家或</w:t>
      </w:r>
      <w:r>
        <w:rPr>
          <w:rFonts w:hint="eastAsia" w:ascii="宋体" w:hAnsi="宋体" w:cs="宋体"/>
          <w:color w:val="auto"/>
          <w:szCs w:val="22"/>
          <w:highlight w:val="none"/>
        </w:rPr>
        <w:t>递交响应文件的供应商</w:t>
      </w:r>
      <w:r>
        <w:rPr>
          <w:rFonts w:hint="eastAsia" w:ascii="宋体" w:hAnsi="宋体" w:cs="宋体"/>
          <w:color w:val="auto"/>
          <w:szCs w:val="22"/>
          <w:highlight w:val="none"/>
          <w:lang w:val="en-US" w:eastAsia="zh-CN"/>
        </w:rPr>
        <w:t>不足3家或通过资格、符合性审查的供应商不足3家</w:t>
      </w:r>
      <w:r>
        <w:rPr>
          <w:rFonts w:hint="eastAsia" w:ascii="宋体" w:hAnsi="宋体" w:cs="宋体"/>
          <w:color w:val="auto"/>
          <w:szCs w:val="22"/>
          <w:highlight w:val="none"/>
        </w:rPr>
        <w:t>，采购人</w:t>
      </w:r>
      <w:r>
        <w:rPr>
          <w:rFonts w:hint="eastAsia" w:ascii="宋体" w:hAnsi="宋体" w:cs="宋体"/>
          <w:color w:val="auto"/>
          <w:szCs w:val="22"/>
          <w:highlight w:val="none"/>
          <w:lang w:val="en-US" w:eastAsia="zh-CN"/>
        </w:rPr>
        <w:t>可</w:t>
      </w:r>
      <w:r>
        <w:rPr>
          <w:rFonts w:hint="eastAsia" w:ascii="宋体" w:hAnsi="宋体" w:cs="宋体"/>
          <w:color w:val="auto"/>
          <w:szCs w:val="22"/>
          <w:highlight w:val="none"/>
        </w:rPr>
        <w:t>采</w:t>
      </w:r>
      <w:r>
        <w:rPr>
          <w:rFonts w:hint="eastAsia" w:ascii="宋体" w:hAnsi="宋体" w:cs="宋体"/>
          <w:color w:val="auto"/>
          <w:szCs w:val="22"/>
          <w:highlight w:val="none"/>
          <w:lang w:val="en-US" w:eastAsia="zh-CN"/>
        </w:rPr>
        <w:t>取</w:t>
      </w:r>
      <w:r>
        <w:rPr>
          <w:rFonts w:hint="eastAsia" w:ascii="宋体" w:hAnsi="宋体" w:cs="宋体"/>
          <w:color w:val="auto"/>
          <w:szCs w:val="22"/>
          <w:highlight w:val="none"/>
        </w:rPr>
        <w:t>以下任意一种方式进行</w:t>
      </w:r>
      <w:r>
        <w:rPr>
          <w:rFonts w:hint="eastAsia" w:ascii="宋体" w:hAnsi="宋体" w:cs="宋体"/>
          <w:color w:val="auto"/>
          <w:szCs w:val="22"/>
          <w:highlight w:val="none"/>
          <w:lang w:val="en-US" w:eastAsia="zh-CN"/>
        </w:rPr>
        <w:t>采购</w:t>
      </w:r>
      <w:r>
        <w:rPr>
          <w:rFonts w:hint="eastAsia" w:ascii="宋体" w:hAnsi="宋体" w:cs="宋体"/>
          <w:color w:val="auto"/>
          <w:sz w:val="21"/>
          <w:szCs w:val="21"/>
          <w:highlight w:val="none"/>
          <w:lang w:val="en-US" w:eastAsia="zh-CN"/>
        </w:rPr>
        <w:t>：</w:t>
      </w:r>
    </w:p>
    <w:p w14:paraId="218D2BD7">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1）</w:t>
      </w:r>
      <w:r>
        <w:rPr>
          <w:rFonts w:hint="eastAsia" w:ascii="宋体" w:hAnsi="宋体" w:cs="Times New Roman"/>
          <w:bCs/>
          <w:color w:val="auto"/>
          <w:szCs w:val="21"/>
          <w:highlight w:val="none"/>
        </w:rPr>
        <w:t>项目</w:t>
      </w:r>
      <w:r>
        <w:rPr>
          <w:rFonts w:hint="eastAsia" w:ascii="宋体" w:hAnsi="宋体" w:cs="Times New Roman"/>
          <w:bCs/>
          <w:color w:val="auto"/>
          <w:szCs w:val="21"/>
          <w:highlight w:val="none"/>
          <w:lang w:eastAsia="zh-CN"/>
        </w:rPr>
        <w:t>作废</w:t>
      </w:r>
      <w:r>
        <w:rPr>
          <w:rFonts w:hint="eastAsia" w:ascii="宋体" w:hAnsi="宋体" w:cs="Times New Roman"/>
          <w:bCs/>
          <w:color w:val="auto"/>
          <w:szCs w:val="21"/>
          <w:highlight w:val="none"/>
        </w:rPr>
        <w:t>，重新组织采购工作</w:t>
      </w:r>
      <w:r>
        <w:rPr>
          <w:rFonts w:hint="eastAsia" w:ascii="宋体" w:hAnsi="宋体" w:cs="Times New Roman"/>
          <w:bCs/>
          <w:color w:val="auto"/>
          <w:szCs w:val="21"/>
          <w:highlight w:val="none"/>
          <w:lang w:eastAsia="zh-CN"/>
        </w:rPr>
        <w:t>；</w:t>
      </w:r>
    </w:p>
    <w:p w14:paraId="286791E4">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cs="Times New Roman"/>
          <w:bCs/>
          <w:color w:val="auto"/>
          <w:szCs w:val="21"/>
          <w:highlight w:val="none"/>
        </w:rPr>
      </w:pPr>
      <w:r>
        <w:rPr>
          <w:rFonts w:hint="eastAsia" w:ascii="宋体" w:hAnsi="宋体" w:cs="Times New Roman"/>
          <w:bCs/>
          <w:color w:val="auto"/>
          <w:szCs w:val="21"/>
          <w:highlight w:val="none"/>
          <w:lang w:val="en-US" w:eastAsia="zh-CN"/>
        </w:rPr>
        <w:t>2）报名参与的供应商只有2家或</w:t>
      </w:r>
      <w:r>
        <w:rPr>
          <w:rFonts w:hint="eastAsia" w:ascii="宋体" w:hAnsi="宋体" w:cs="Times New Roman"/>
          <w:bCs/>
          <w:color w:val="auto"/>
          <w:szCs w:val="21"/>
          <w:highlight w:val="none"/>
        </w:rPr>
        <w:t>递交响应文件的供应商</w:t>
      </w:r>
      <w:r>
        <w:rPr>
          <w:rFonts w:hint="eastAsia" w:ascii="宋体" w:hAnsi="宋体" w:cs="Times New Roman"/>
          <w:bCs/>
          <w:color w:val="auto"/>
          <w:szCs w:val="21"/>
          <w:highlight w:val="none"/>
          <w:lang w:val="en-US" w:eastAsia="zh-CN"/>
        </w:rPr>
        <w:t>只有2家或通过资格、符合性审查的供应商只有2家</w:t>
      </w:r>
      <w:r>
        <w:rPr>
          <w:rFonts w:hint="eastAsia" w:ascii="宋体" w:hAnsi="宋体" w:eastAsia="宋体" w:cs="Times New Roman"/>
          <w:bCs/>
          <w:color w:val="auto"/>
          <w:sz w:val="21"/>
          <w:szCs w:val="21"/>
          <w:highlight w:val="none"/>
          <w:u w:val="none"/>
        </w:rPr>
        <w:t>，</w:t>
      </w:r>
      <w:r>
        <w:rPr>
          <w:rFonts w:hint="eastAsia" w:ascii="宋体" w:hAnsi="宋体" w:cs="Times New Roman"/>
          <w:bCs/>
          <w:color w:val="auto"/>
          <w:szCs w:val="21"/>
          <w:highlight w:val="none"/>
          <w:lang w:val="en-US" w:eastAsia="zh-CN"/>
        </w:rPr>
        <w:t>询价</w:t>
      </w:r>
      <w:r>
        <w:rPr>
          <w:rFonts w:hint="eastAsia" w:ascii="宋体" w:hAnsi="宋体" w:cs="Times New Roman"/>
          <w:bCs/>
          <w:color w:val="auto"/>
          <w:szCs w:val="21"/>
          <w:highlight w:val="none"/>
        </w:rPr>
        <w:t>采购活动可以继续进行，</w:t>
      </w:r>
      <w:r>
        <w:rPr>
          <w:rFonts w:hint="eastAsia" w:ascii="宋体" w:hAnsi="宋体" w:cs="Times New Roman"/>
          <w:bCs/>
          <w:color w:val="auto"/>
          <w:szCs w:val="21"/>
          <w:highlight w:val="none"/>
          <w:lang w:val="en-US" w:eastAsia="zh-CN"/>
        </w:rPr>
        <w:t>并按照</w:t>
      </w:r>
      <w:r>
        <w:rPr>
          <w:rFonts w:hint="eastAsia" w:ascii="宋体" w:hAnsi="宋体"/>
          <w:b w:val="0"/>
          <w:bCs/>
          <w:color w:val="auto"/>
          <w:szCs w:val="21"/>
          <w:highlight w:val="none"/>
          <w:lang w:val="en-US" w:eastAsia="zh-CN"/>
        </w:rPr>
        <w:t>定选</w:t>
      </w:r>
      <w:r>
        <w:rPr>
          <w:rFonts w:hint="eastAsia" w:ascii="宋体" w:hAnsi="宋体"/>
          <w:b w:val="0"/>
          <w:bCs/>
          <w:color w:val="auto"/>
          <w:szCs w:val="21"/>
          <w:highlight w:val="none"/>
        </w:rPr>
        <w:t>原则</w:t>
      </w:r>
      <w:r>
        <w:rPr>
          <w:rFonts w:hint="eastAsia" w:ascii="宋体" w:hAnsi="宋体" w:cs="Times New Roman"/>
          <w:bCs/>
          <w:color w:val="auto"/>
          <w:szCs w:val="21"/>
          <w:highlight w:val="none"/>
        </w:rPr>
        <w:t>成交供应商；</w:t>
      </w:r>
    </w:p>
    <w:p w14:paraId="1A10C710">
      <w:pPr>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rPr>
          <w:rFonts w:hint="eastAsia" w:ascii="宋体" w:hAnsi="宋体"/>
          <w:bCs/>
          <w:color w:val="auto"/>
          <w:szCs w:val="21"/>
          <w:highlight w:val="none"/>
        </w:rPr>
      </w:pPr>
      <w:r>
        <w:rPr>
          <w:rFonts w:hint="eastAsia" w:ascii="宋体" w:hAnsi="宋体" w:cs="Times New Roman"/>
          <w:bCs/>
          <w:color w:val="auto"/>
          <w:szCs w:val="21"/>
          <w:highlight w:val="none"/>
          <w:lang w:val="en-US" w:eastAsia="zh-CN"/>
        </w:rPr>
        <w:t>3）报名参与的供应商只有1家或</w:t>
      </w:r>
      <w:r>
        <w:rPr>
          <w:rFonts w:hint="eastAsia" w:ascii="宋体" w:hAnsi="宋体" w:cs="Times New Roman"/>
          <w:bCs/>
          <w:color w:val="auto"/>
          <w:szCs w:val="21"/>
          <w:highlight w:val="none"/>
        </w:rPr>
        <w:t>递交响应文件的供应商</w:t>
      </w:r>
      <w:r>
        <w:rPr>
          <w:rFonts w:hint="eastAsia" w:ascii="宋体" w:hAnsi="宋体" w:cs="Times New Roman"/>
          <w:bCs/>
          <w:color w:val="auto"/>
          <w:szCs w:val="21"/>
          <w:highlight w:val="none"/>
          <w:lang w:val="en-US" w:eastAsia="zh-CN"/>
        </w:rPr>
        <w:t>只有1家或通过资格、符合性审查的供应商只有1家</w:t>
      </w:r>
      <w:r>
        <w:rPr>
          <w:rFonts w:hint="eastAsia" w:ascii="宋体" w:hAnsi="宋体" w:cs="Times New Roman"/>
          <w:bCs/>
          <w:color w:val="auto"/>
          <w:szCs w:val="21"/>
          <w:highlight w:val="none"/>
        </w:rPr>
        <w:t>，</w:t>
      </w:r>
      <w:r>
        <w:rPr>
          <w:rFonts w:hint="eastAsia" w:ascii="宋体" w:hAnsi="宋体" w:cs="Times New Roman"/>
          <w:bCs/>
          <w:color w:val="auto"/>
          <w:szCs w:val="21"/>
          <w:highlight w:val="none"/>
          <w:lang w:val="en-US" w:eastAsia="zh-CN"/>
        </w:rPr>
        <w:t>按照</w:t>
      </w:r>
      <w:r>
        <w:rPr>
          <w:rFonts w:hint="eastAsia" w:ascii="宋体" w:hAnsi="宋体" w:cs="Times New Roman"/>
          <w:bCs/>
          <w:color w:val="auto"/>
          <w:szCs w:val="21"/>
          <w:highlight w:val="none"/>
        </w:rPr>
        <w:t>符合采购要求，价格合理</w:t>
      </w:r>
      <w:r>
        <w:rPr>
          <w:rFonts w:hint="eastAsia" w:ascii="宋体" w:hAnsi="宋体" w:cs="Times New Roman"/>
          <w:bCs/>
          <w:color w:val="auto"/>
          <w:szCs w:val="21"/>
          <w:highlight w:val="none"/>
          <w:lang w:val="en-US" w:eastAsia="zh-CN"/>
        </w:rPr>
        <w:t>中选的方式确定成交供应商</w:t>
      </w:r>
      <w:r>
        <w:rPr>
          <w:rFonts w:hint="eastAsia" w:ascii="宋体" w:hAnsi="宋体" w:cs="Times New Roman"/>
          <w:bCs/>
          <w:color w:val="auto"/>
          <w:szCs w:val="21"/>
          <w:highlight w:val="none"/>
        </w:rPr>
        <w:t>。</w:t>
      </w:r>
    </w:p>
    <w:p w14:paraId="27F21681">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4）</w:t>
      </w:r>
      <w:r>
        <w:rPr>
          <w:rFonts w:hint="eastAsia" w:ascii="宋体" w:hAnsi="宋体"/>
          <w:bCs/>
          <w:color w:val="auto"/>
          <w:szCs w:val="21"/>
          <w:highlight w:val="none"/>
        </w:rPr>
        <w:t>最终结算以按</w:t>
      </w:r>
      <w:r>
        <w:rPr>
          <w:rFonts w:hint="eastAsia" w:ascii="宋体" w:hAnsi="宋体"/>
          <w:bCs/>
          <w:color w:val="auto"/>
          <w:szCs w:val="21"/>
          <w:highlight w:val="none"/>
          <w:lang w:val="en-US" w:eastAsia="zh-CN"/>
        </w:rPr>
        <w:t>实际</w:t>
      </w:r>
      <w:r>
        <w:rPr>
          <w:rFonts w:hint="eastAsia" w:ascii="宋体" w:hAnsi="宋体"/>
          <w:bCs/>
          <w:color w:val="auto"/>
          <w:szCs w:val="21"/>
          <w:highlight w:val="none"/>
        </w:rPr>
        <w:t>结算为准，结算总价原</w:t>
      </w:r>
      <w:r>
        <w:rPr>
          <w:rFonts w:hint="eastAsia" w:ascii="宋体" w:hAnsi="宋体"/>
          <w:bCs/>
          <w:color w:val="auto"/>
          <w:szCs w:val="21"/>
          <w:highlight w:val="none"/>
          <w:lang w:eastAsia="zh-CN"/>
        </w:rPr>
        <w:t>则上</w:t>
      </w:r>
      <w:r>
        <w:rPr>
          <w:rFonts w:hint="eastAsia" w:ascii="宋体" w:hAnsi="宋体"/>
          <w:bCs/>
          <w:color w:val="auto"/>
          <w:szCs w:val="21"/>
          <w:highlight w:val="none"/>
        </w:rPr>
        <w:t>不得超出</w:t>
      </w:r>
      <w:r>
        <w:rPr>
          <w:rFonts w:hint="eastAsia" w:ascii="宋体" w:hAnsi="宋体"/>
          <w:bCs/>
          <w:color w:val="auto"/>
          <w:szCs w:val="21"/>
          <w:highlight w:val="none"/>
          <w:lang w:eastAsia="zh-CN"/>
        </w:rPr>
        <w:t>中选</w:t>
      </w:r>
      <w:r>
        <w:rPr>
          <w:rFonts w:hint="eastAsia" w:ascii="宋体" w:hAnsi="宋体"/>
          <w:bCs/>
          <w:color w:val="auto"/>
          <w:szCs w:val="21"/>
          <w:highlight w:val="none"/>
        </w:rPr>
        <w:t>价，超出部分按照相关规定实施。</w:t>
      </w:r>
    </w:p>
    <w:p w14:paraId="4BED3E7E">
      <w:pPr>
        <w:keepNext w:val="0"/>
        <w:keepLines w:val="0"/>
        <w:pageBreakBefore w:val="0"/>
        <w:tabs>
          <w:tab w:val="left" w:pos="7391"/>
        </w:tabs>
        <w:kinsoku/>
        <w:wordWrap/>
        <w:overflowPunct/>
        <w:topLinePunct w:val="0"/>
        <w:autoSpaceDE/>
        <w:autoSpaceDN/>
        <w:bidi w:val="0"/>
        <w:adjustRightInd/>
        <w:snapToGrid/>
        <w:spacing w:line="360" w:lineRule="auto"/>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四、项目内容：该项目共一个包组，需要对PACS扩容网络存储设备采购项目采购，详见需求部分。</w:t>
      </w:r>
    </w:p>
    <w:p w14:paraId="54F28CA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b w:val="0"/>
          <w:bCs/>
          <w:color w:val="auto"/>
          <w:szCs w:val="21"/>
          <w:highlight w:val="none"/>
        </w:rPr>
      </w:pPr>
      <w:r>
        <w:rPr>
          <w:rFonts w:hint="eastAsia" w:ascii="宋体" w:hAnsi="宋体"/>
          <w:b w:val="0"/>
          <w:bCs/>
          <w:color w:val="auto"/>
          <w:szCs w:val="21"/>
          <w:highlight w:val="none"/>
          <w:lang w:val="en-US" w:eastAsia="zh-CN"/>
        </w:rPr>
        <w:t>五、</w:t>
      </w:r>
      <w:r>
        <w:rPr>
          <w:rFonts w:hint="eastAsia" w:ascii="宋体" w:hAnsi="宋体"/>
          <w:b w:val="0"/>
          <w:bCs/>
          <w:color w:val="auto"/>
          <w:szCs w:val="21"/>
          <w:highlight w:val="none"/>
        </w:rPr>
        <w:t>报价人资格要求：</w:t>
      </w:r>
    </w:p>
    <w:p w14:paraId="61A0ADB6">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bCs/>
          <w:color w:val="auto"/>
          <w:szCs w:val="21"/>
          <w:highlight w:val="none"/>
          <w:lang w:val="en-US" w:eastAsia="zh-CN"/>
        </w:rPr>
        <w:t xml:space="preserve">1. </w:t>
      </w:r>
      <w:r>
        <w:rPr>
          <w:rFonts w:hint="eastAsia" w:ascii="宋体" w:hAnsi="宋体"/>
          <w:bCs/>
          <w:color w:val="auto"/>
          <w:szCs w:val="21"/>
          <w:highlight w:val="none"/>
        </w:rPr>
        <w:t>必须是具有独立承担民事责任能力的在中华人民共和国境内注册的法人或其他组织</w:t>
      </w:r>
      <w:r>
        <w:rPr>
          <w:rFonts w:hint="eastAsia" w:ascii="宋体" w:hAnsi="宋体"/>
          <w:bCs/>
          <w:color w:val="auto"/>
          <w:szCs w:val="21"/>
          <w:highlight w:val="none"/>
          <w:lang w:eastAsia="zh-CN"/>
        </w:rPr>
        <w:t>。</w:t>
      </w:r>
    </w:p>
    <w:p w14:paraId="3C059F30">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 xml:space="preserve">2. </w:t>
      </w:r>
      <w:r>
        <w:rPr>
          <w:rFonts w:hint="eastAsia" w:ascii="宋体" w:hAnsi="宋体"/>
          <w:bCs/>
          <w:color w:val="auto"/>
          <w:szCs w:val="21"/>
          <w:highlight w:val="none"/>
        </w:rPr>
        <w:t>具备《中华人民共和国政府采购法》第二十二条资格条件</w:t>
      </w:r>
      <w:r>
        <w:rPr>
          <w:rFonts w:hint="eastAsia" w:ascii="宋体" w:hAnsi="宋体"/>
          <w:bCs/>
          <w:color w:val="auto"/>
          <w:szCs w:val="21"/>
          <w:highlight w:val="none"/>
          <w:lang w:eastAsia="zh-CN"/>
        </w:rPr>
        <w:t>。</w:t>
      </w:r>
    </w:p>
    <w:p w14:paraId="27A4A102">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bCs/>
          <w:color w:val="auto"/>
          <w:szCs w:val="21"/>
          <w:highlight w:val="none"/>
          <w:lang w:val="en-US" w:eastAsia="zh-CN"/>
        </w:rPr>
        <w:t xml:space="preserve">3. </w:t>
      </w:r>
      <w:r>
        <w:rPr>
          <w:rFonts w:hint="eastAsia" w:ascii="宋体" w:hAnsi="宋体"/>
          <w:bCs/>
          <w:color w:val="auto"/>
          <w:szCs w:val="21"/>
          <w:highlight w:val="none"/>
        </w:rPr>
        <w:t>不同的</w:t>
      </w:r>
      <w:r>
        <w:rPr>
          <w:rFonts w:hint="eastAsia" w:ascii="宋体" w:hAnsi="宋体"/>
          <w:bCs/>
          <w:color w:val="auto"/>
          <w:szCs w:val="21"/>
          <w:highlight w:val="none"/>
          <w:lang w:eastAsia="zh-CN"/>
        </w:rPr>
        <w:t>供应商</w:t>
      </w:r>
      <w:r>
        <w:rPr>
          <w:rFonts w:hint="eastAsia" w:ascii="宋体" w:hAnsi="宋体"/>
          <w:bCs/>
          <w:color w:val="auto"/>
          <w:szCs w:val="21"/>
          <w:highlight w:val="none"/>
        </w:rPr>
        <w:t>之间有下列情形之一的，不接受作为参与同一采购项目竞争的</w:t>
      </w:r>
      <w:r>
        <w:rPr>
          <w:rFonts w:hint="eastAsia" w:ascii="宋体" w:hAnsi="宋体"/>
          <w:bCs/>
          <w:color w:val="auto"/>
          <w:szCs w:val="21"/>
          <w:highlight w:val="none"/>
          <w:lang w:eastAsia="zh-CN"/>
        </w:rPr>
        <w:t>供应商。</w:t>
      </w:r>
    </w:p>
    <w:p w14:paraId="2865F7BF">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 xml:space="preserve">3.1 </w:t>
      </w:r>
      <w:r>
        <w:rPr>
          <w:rFonts w:hint="eastAsia" w:ascii="宋体" w:hAnsi="宋体"/>
          <w:bCs/>
          <w:color w:val="auto"/>
          <w:szCs w:val="21"/>
          <w:highlight w:val="none"/>
        </w:rPr>
        <w:t>法定代表人或单位负责人为同一人或者存在直接控股、管理关系的</w:t>
      </w:r>
      <w:r>
        <w:rPr>
          <w:rFonts w:hint="eastAsia" w:ascii="宋体" w:hAnsi="宋体"/>
          <w:bCs/>
          <w:color w:val="auto"/>
          <w:szCs w:val="21"/>
          <w:highlight w:val="none"/>
          <w:lang w:eastAsia="zh-CN"/>
        </w:rPr>
        <w:t>供应商</w:t>
      </w:r>
      <w:r>
        <w:rPr>
          <w:rFonts w:hint="eastAsia" w:ascii="宋体" w:hAnsi="宋体"/>
          <w:bCs/>
          <w:color w:val="auto"/>
          <w:szCs w:val="21"/>
          <w:highlight w:val="none"/>
        </w:rPr>
        <w:t>。</w:t>
      </w:r>
    </w:p>
    <w:p w14:paraId="401DF500">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 xml:space="preserve">3.2 </w:t>
      </w:r>
      <w:r>
        <w:rPr>
          <w:rFonts w:hint="eastAsia" w:ascii="宋体" w:hAnsi="宋体"/>
          <w:bCs/>
          <w:color w:val="auto"/>
          <w:szCs w:val="21"/>
          <w:highlight w:val="none"/>
        </w:rPr>
        <w:t>为采购项目提供整体设计、规范编制或者项目管理、监理、检测等服务的</w:t>
      </w:r>
      <w:r>
        <w:rPr>
          <w:rFonts w:hint="eastAsia" w:ascii="宋体" w:hAnsi="宋体"/>
          <w:bCs/>
          <w:color w:val="auto"/>
          <w:szCs w:val="21"/>
          <w:highlight w:val="none"/>
          <w:lang w:eastAsia="zh-CN"/>
        </w:rPr>
        <w:t>供应商</w:t>
      </w:r>
      <w:r>
        <w:rPr>
          <w:rFonts w:hint="eastAsia" w:ascii="宋体" w:hAnsi="宋体"/>
          <w:bCs/>
          <w:color w:val="auto"/>
          <w:szCs w:val="21"/>
          <w:highlight w:val="none"/>
        </w:rPr>
        <w:t>。</w:t>
      </w:r>
    </w:p>
    <w:p w14:paraId="37200547">
      <w:pPr>
        <w:keepNext w:val="0"/>
        <w:keepLines w:val="0"/>
        <w:pageBreakBefore w:val="0"/>
        <w:tabs>
          <w:tab w:val="left" w:pos="7391"/>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b/>
          <w:bCs w:val="0"/>
          <w:color w:val="auto"/>
          <w:szCs w:val="21"/>
          <w:highlight w:val="none"/>
          <w:lang w:eastAsia="zh-CN"/>
        </w:rPr>
      </w:pPr>
      <w:r>
        <w:rPr>
          <w:rFonts w:hint="eastAsia" w:ascii="宋体" w:hAnsi="宋体" w:eastAsia="宋体"/>
          <w:b/>
          <w:bCs w:val="0"/>
          <w:color w:val="auto"/>
          <w:szCs w:val="21"/>
          <w:highlight w:val="none"/>
          <w:lang w:val="en-US" w:eastAsia="zh-CN"/>
        </w:rPr>
        <w:t xml:space="preserve">3.3 </w:t>
      </w:r>
      <w:r>
        <w:rPr>
          <w:rFonts w:hint="eastAsia" w:ascii="宋体" w:hAnsi="宋体" w:eastAsia="宋体"/>
          <w:b/>
          <w:bCs w:val="0"/>
          <w:color w:val="auto"/>
          <w:szCs w:val="21"/>
          <w:highlight w:val="none"/>
          <w:lang w:eastAsia="zh-CN"/>
        </w:rPr>
        <w:t>★投标人202</w:t>
      </w:r>
      <w:r>
        <w:rPr>
          <w:rFonts w:hint="eastAsia" w:ascii="宋体" w:hAnsi="宋体"/>
          <w:b/>
          <w:bCs w:val="0"/>
          <w:color w:val="auto"/>
          <w:szCs w:val="21"/>
          <w:highlight w:val="none"/>
          <w:lang w:val="en-US" w:eastAsia="zh-CN"/>
        </w:rPr>
        <w:t>4</w:t>
      </w:r>
      <w:r>
        <w:rPr>
          <w:rFonts w:hint="eastAsia" w:ascii="宋体" w:hAnsi="宋体" w:eastAsia="宋体"/>
          <w:b/>
          <w:bCs w:val="0"/>
          <w:color w:val="auto"/>
          <w:szCs w:val="21"/>
          <w:highlight w:val="none"/>
          <w:lang w:eastAsia="zh-CN"/>
        </w:rPr>
        <w:t>年以来参加本医院项目有自动放弃中标资格或被认定为提供虚假材料应标的不能参加本次项目。</w:t>
      </w:r>
    </w:p>
    <w:p w14:paraId="20D0104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4.</w:t>
      </w:r>
      <w:r>
        <w:rPr>
          <w:rFonts w:hint="eastAsia" w:ascii="宋体" w:hAnsi="宋体"/>
          <w:bCs/>
          <w:color w:val="auto"/>
          <w:szCs w:val="21"/>
          <w:highlight w:val="none"/>
        </w:rPr>
        <w:t>按照《财政部关于在政府采购活动中查询及使用信用记录有关问题的通知》（财库（2016）125号）的要求，</w:t>
      </w:r>
      <w:r>
        <w:rPr>
          <w:rFonts w:hint="eastAsia" w:ascii="宋体" w:hAnsi="宋体"/>
          <w:bCs/>
          <w:color w:val="auto"/>
          <w:szCs w:val="21"/>
          <w:highlight w:val="none"/>
          <w:lang w:eastAsia="zh-CN"/>
        </w:rPr>
        <w:t>供应商</w:t>
      </w:r>
      <w:r>
        <w:rPr>
          <w:rFonts w:hint="eastAsia" w:ascii="宋体" w:hAnsi="宋体"/>
          <w:bCs/>
          <w:color w:val="auto"/>
          <w:szCs w:val="21"/>
          <w:highlight w:val="none"/>
        </w:rPr>
        <w:t>（本项目</w:t>
      </w:r>
      <w:r>
        <w:rPr>
          <w:rFonts w:hint="eastAsia" w:ascii="宋体" w:hAnsi="宋体"/>
          <w:bCs/>
          <w:color w:val="auto"/>
          <w:szCs w:val="21"/>
          <w:highlight w:val="none"/>
          <w:lang w:eastAsia="zh-CN"/>
        </w:rPr>
        <w:t>询价</w:t>
      </w:r>
      <w:r>
        <w:rPr>
          <w:rFonts w:hint="eastAsia" w:ascii="宋体" w:hAnsi="宋体"/>
          <w:bCs/>
          <w:color w:val="auto"/>
          <w:szCs w:val="21"/>
          <w:highlight w:val="none"/>
        </w:rPr>
        <w:t>截止期前）被“信用中国”网站、“中国政府采购网”网站列入失信被执行人、重大税收违法案件当事人名单、政府采购严重违法失信行为记录名单的，不得参与本项目的政府采购活动。</w:t>
      </w:r>
      <w:r>
        <w:rPr>
          <w:rFonts w:hint="eastAsia" w:ascii="宋体" w:hAnsi="宋体"/>
          <w:b/>
          <w:bCs/>
          <w:color w:val="auto"/>
          <w:szCs w:val="21"/>
          <w:highlight w:val="none"/>
        </w:rPr>
        <w:t>供应商</w:t>
      </w:r>
      <w:r>
        <w:rPr>
          <w:rFonts w:hint="eastAsia" w:ascii="宋体" w:hAnsi="宋体"/>
          <w:b/>
          <w:bCs/>
          <w:color w:val="auto"/>
          <w:szCs w:val="21"/>
          <w:highlight w:val="none"/>
          <w:lang w:val="en-US" w:eastAsia="zh-CN"/>
        </w:rPr>
        <w:t>提供</w:t>
      </w:r>
      <w:r>
        <w:rPr>
          <w:rFonts w:hint="eastAsia" w:ascii="宋体" w:hAnsi="宋体"/>
          <w:color w:val="auto"/>
          <w:szCs w:val="21"/>
          <w:highlight w:val="none"/>
        </w:rPr>
        <w:t>未被列入“信用中国”网站(www.creditchina.gov.cn)“记录失信被执行人或重大税收违法案件当事人名单或政府采购严重违法失信行为”记录名单</w:t>
      </w:r>
      <w:r>
        <w:rPr>
          <w:rFonts w:hint="eastAsia" w:ascii="宋体" w:hAnsi="宋体"/>
          <w:color w:val="auto"/>
          <w:szCs w:val="21"/>
          <w:highlight w:val="none"/>
          <w:lang w:val="en-US" w:eastAsia="zh-CN"/>
        </w:rPr>
        <w:t>证明</w:t>
      </w:r>
      <w:r>
        <w:rPr>
          <w:rFonts w:hint="eastAsia" w:ascii="宋体" w:hAnsi="宋体"/>
          <w:color w:val="auto"/>
          <w:szCs w:val="21"/>
          <w:highlight w:val="none"/>
        </w:rPr>
        <w:t>。同时，不处于中国政府采购网(www.ccgp.gov.cn)“政府采购严重违法失信行为信息记录”中的禁止参加政府采购活动期间。</w:t>
      </w:r>
      <w:r>
        <w:rPr>
          <w:rFonts w:hint="eastAsia" w:ascii="宋体" w:hAnsi="宋体"/>
          <w:b w:val="0"/>
          <w:bCs/>
          <w:color w:val="auto"/>
          <w:szCs w:val="21"/>
          <w:highlight w:val="none"/>
          <w:u w:val="single"/>
        </w:rPr>
        <w:t>（说明：①于递交响应文件截止时间前</w:t>
      </w:r>
      <w:r>
        <w:rPr>
          <w:rFonts w:hint="eastAsia" w:ascii="宋体" w:hAnsi="宋体"/>
          <w:b w:val="0"/>
          <w:bCs/>
          <w:color w:val="auto"/>
          <w:szCs w:val="21"/>
          <w:highlight w:val="none"/>
          <w:u w:val="single"/>
          <w:lang w:val="en-US" w:eastAsia="zh-CN"/>
        </w:rPr>
        <w:t>五</w:t>
      </w:r>
      <w:r>
        <w:rPr>
          <w:rFonts w:hint="eastAsia" w:ascii="宋体" w:hAnsi="宋体"/>
          <w:b w:val="0"/>
          <w:bCs/>
          <w:color w:val="auto"/>
          <w:szCs w:val="21"/>
          <w:highlight w:val="none"/>
          <w:u w:val="single"/>
        </w:rPr>
        <w:t>个工作日在“信用中国”网站（www.creditchina.gov.cn）及中国政府采购网(www.ccgp.gov.cn)查询结果为准。②在上述网站查询结果显示“很抱歉，没有找到您搜索的企业”或“共0条记录”，视为没有上述不良信用信息记录。③如失信记录已失效，供应商须提供相关证明文件）</w:t>
      </w:r>
      <w:r>
        <w:rPr>
          <w:rFonts w:hint="eastAsia" w:ascii="宋体" w:hAnsi="宋体"/>
          <w:b w:val="0"/>
          <w:bCs/>
          <w:color w:val="auto"/>
          <w:szCs w:val="21"/>
          <w:highlight w:val="none"/>
          <w:lang w:eastAsia="zh-CN"/>
        </w:rPr>
        <w:t>。</w:t>
      </w:r>
    </w:p>
    <w:p w14:paraId="1E9A5C81">
      <w:pPr>
        <w:pStyle w:val="18"/>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eastAsia="宋体"/>
          <w:b w:val="0"/>
          <w:bCs w:val="0"/>
          <w:color w:val="auto"/>
          <w:sz w:val="21"/>
          <w:szCs w:val="21"/>
          <w:highlight w:val="none"/>
          <w:lang w:eastAsia="zh-CN"/>
        </w:rPr>
      </w:pPr>
      <w:r>
        <w:rPr>
          <w:rFonts w:hint="eastAsia" w:ascii="宋体" w:hAnsi="宋体"/>
          <w:color w:val="auto"/>
          <w:sz w:val="21"/>
          <w:szCs w:val="21"/>
          <w:highlight w:val="none"/>
          <w:lang w:val="en-US" w:eastAsia="zh-CN"/>
        </w:rPr>
        <w:t xml:space="preserve">5. </w:t>
      </w:r>
      <w:r>
        <w:rPr>
          <w:rFonts w:hint="eastAsia" w:ascii="宋体" w:hAnsi="宋体"/>
          <w:color w:val="auto"/>
          <w:sz w:val="21"/>
          <w:szCs w:val="21"/>
          <w:highlight w:val="none"/>
        </w:rPr>
        <w:t>供应商须无围标、串标行为</w:t>
      </w:r>
      <w:r>
        <w:rPr>
          <w:rFonts w:hint="eastAsia" w:ascii="宋体" w:hAnsi="宋体"/>
          <w:color w:val="auto"/>
          <w:sz w:val="21"/>
          <w:szCs w:val="21"/>
          <w:highlight w:val="none"/>
          <w:lang w:eastAsia="zh-CN"/>
        </w:rPr>
        <w:t>，</w:t>
      </w:r>
      <w:r>
        <w:rPr>
          <w:rFonts w:hint="eastAsia" w:ascii="宋体" w:hAnsi="宋体"/>
          <w:b w:val="0"/>
          <w:bCs w:val="0"/>
          <w:color w:val="auto"/>
          <w:sz w:val="21"/>
          <w:szCs w:val="21"/>
          <w:highlight w:val="none"/>
        </w:rPr>
        <w:t>投标文件提供《无围标串通等违法违规行为承诺书》</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承诺书格式自行编制）</w:t>
      </w:r>
      <w:r>
        <w:rPr>
          <w:rFonts w:hint="eastAsia" w:ascii="宋体" w:hAnsi="宋体"/>
          <w:b w:val="0"/>
          <w:bCs w:val="0"/>
          <w:color w:val="auto"/>
          <w:sz w:val="21"/>
          <w:szCs w:val="21"/>
          <w:highlight w:val="none"/>
          <w:lang w:val="en-US" w:eastAsia="zh-CN"/>
        </w:rPr>
        <w:t>和</w:t>
      </w:r>
      <w:r>
        <w:rPr>
          <w:rFonts w:hint="eastAsia" w:ascii="宋体" w:hAnsi="宋体"/>
          <w:b w:val="0"/>
          <w:bCs w:val="0"/>
          <w:color w:val="auto"/>
          <w:sz w:val="21"/>
          <w:szCs w:val="21"/>
          <w:highlight w:val="none"/>
        </w:rPr>
        <w:t>提供</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廉洁承诺书</w:t>
      </w:r>
      <w:r>
        <w:rPr>
          <w:rFonts w:hint="eastAsia" w:ascii="宋体" w:hAnsi="宋体"/>
          <w:b w:val="0"/>
          <w:bCs w:val="0"/>
          <w:color w:val="auto"/>
          <w:sz w:val="21"/>
          <w:szCs w:val="21"/>
          <w:highlight w:val="none"/>
          <w:lang w:eastAsia="zh-CN"/>
        </w:rPr>
        <w:t>》</w:t>
      </w:r>
      <w:r>
        <w:rPr>
          <w:rFonts w:hint="eastAsia" w:ascii="宋体" w:hAnsi="宋体"/>
          <w:b w:val="0"/>
          <w:bCs w:val="0"/>
          <w:color w:val="auto"/>
          <w:sz w:val="21"/>
          <w:szCs w:val="21"/>
          <w:highlight w:val="none"/>
        </w:rPr>
        <w:t>(承诺书格式自行编制)</w:t>
      </w:r>
      <w:r>
        <w:rPr>
          <w:rFonts w:hint="eastAsia" w:hAnsi="宋体"/>
          <w:b w:val="0"/>
          <w:bCs w:val="0"/>
          <w:color w:val="auto"/>
          <w:sz w:val="21"/>
          <w:szCs w:val="21"/>
          <w:highlight w:val="none"/>
          <w:lang w:eastAsia="zh-CN"/>
        </w:rPr>
        <w:t>。</w:t>
      </w:r>
    </w:p>
    <w:p w14:paraId="2E023D15">
      <w:pPr>
        <w:keepNext w:val="0"/>
        <w:keepLines w:val="0"/>
        <w:pageBreakBefore w:val="0"/>
        <w:tabs>
          <w:tab w:val="left" w:pos="7391"/>
        </w:tabs>
        <w:kinsoku/>
        <w:wordWrap/>
        <w:overflowPunct/>
        <w:topLinePunct w:val="0"/>
        <w:autoSpaceDE/>
        <w:autoSpaceDN/>
        <w:bidi w:val="0"/>
        <w:adjustRightInd/>
        <w:snapToGrid/>
        <w:spacing w:line="360" w:lineRule="auto"/>
        <w:textAlignment w:val="auto"/>
        <w:rPr>
          <w:rFonts w:hint="eastAsia" w:ascii="宋体" w:hAnsi="宋体"/>
          <w:bCs/>
          <w:color w:val="auto"/>
          <w:szCs w:val="21"/>
          <w:highlight w:val="none"/>
        </w:rPr>
      </w:pPr>
      <w:r>
        <w:rPr>
          <w:rFonts w:hint="eastAsia" w:ascii="宋体" w:hAnsi="宋体"/>
          <w:bCs/>
          <w:color w:val="auto"/>
          <w:szCs w:val="21"/>
          <w:highlight w:val="none"/>
          <w:lang w:val="en-US" w:eastAsia="zh-CN"/>
        </w:rPr>
        <w:t>6</w:t>
      </w:r>
      <w:r>
        <w:rPr>
          <w:rFonts w:hint="eastAsia" w:ascii="宋体" w:hAnsi="宋体"/>
          <w:bCs/>
          <w:color w:val="auto"/>
          <w:szCs w:val="21"/>
          <w:highlight w:val="none"/>
        </w:rPr>
        <w:t xml:space="preserve">. </w:t>
      </w:r>
      <w:r>
        <w:rPr>
          <w:rFonts w:hint="eastAsia" w:ascii="宋体" w:hAnsi="宋体"/>
          <w:color w:val="auto"/>
          <w:szCs w:val="21"/>
          <w:highlight w:val="none"/>
        </w:rPr>
        <w:t>本项目不接受联合体报价</w:t>
      </w:r>
      <w:r>
        <w:rPr>
          <w:rFonts w:hint="eastAsia" w:ascii="宋体" w:hAnsi="宋体"/>
          <w:color w:val="auto"/>
          <w:szCs w:val="21"/>
          <w:highlight w:val="none"/>
          <w:lang w:eastAsia="zh-CN"/>
        </w:rPr>
        <w:t>，</w:t>
      </w:r>
      <w:r>
        <w:rPr>
          <w:rFonts w:hint="eastAsia" w:ascii="宋体" w:hAnsi="宋体"/>
          <w:bCs/>
          <w:color w:val="auto"/>
          <w:szCs w:val="21"/>
          <w:highlight w:val="none"/>
        </w:rPr>
        <w:t>不允许分包，一旦发现或被举报有分包行为，将取消中标资格，并列入黑名单，永久性不接纳为供应商。</w:t>
      </w:r>
    </w:p>
    <w:p w14:paraId="10F7D94A">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宋体" w:hAnsi="宋体"/>
          <w:color w:val="auto"/>
          <w:szCs w:val="21"/>
          <w:highlight w:val="none"/>
        </w:rPr>
      </w:pPr>
      <w:r>
        <w:rPr>
          <w:rFonts w:hint="eastAsia" w:ascii="宋体"/>
          <w:b w:val="0"/>
          <w:bCs w:val="0"/>
          <w:color w:val="auto"/>
          <w:highlight w:val="none"/>
          <w:lang w:val="en-US" w:eastAsia="zh-CN"/>
        </w:rPr>
        <w:t>六、</w:t>
      </w:r>
      <w:r>
        <w:rPr>
          <w:rFonts w:hint="eastAsia" w:ascii="宋体"/>
          <w:b w:val="0"/>
          <w:bCs w:val="0"/>
          <w:color w:val="auto"/>
          <w:highlight w:val="none"/>
        </w:rPr>
        <w:t>报名时间和方式。</w:t>
      </w:r>
      <w:r>
        <w:rPr>
          <w:rFonts w:hint="eastAsia" w:ascii="宋体"/>
          <w:color w:val="auto"/>
          <w:highlight w:val="none"/>
        </w:rPr>
        <w:t>（本次询价均使用北京时间，24小时制）</w:t>
      </w:r>
    </w:p>
    <w:p w14:paraId="5858DDC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报名、报价时间：</w:t>
      </w:r>
      <w:r>
        <w:rPr>
          <w:rFonts w:hint="eastAsia" w:asciiTheme="minorEastAsia" w:hAnsiTheme="minorEastAsia" w:eastAsiaTheme="minorEastAsia" w:cstheme="minorEastAsia"/>
          <w:b w:val="0"/>
          <w:bCs w:val="0"/>
          <w:color w:val="auto"/>
          <w:sz w:val="21"/>
          <w:szCs w:val="21"/>
          <w:highlight w:val="none"/>
        </w:rPr>
        <w:t>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20</w:t>
      </w:r>
      <w:r>
        <w:rPr>
          <w:rFonts w:hint="eastAsia" w:asciiTheme="minorEastAsia" w:hAnsiTheme="minorEastAsia" w:eastAsiaTheme="minorEastAsia" w:cstheme="minorEastAsia"/>
          <w:b w:val="0"/>
          <w:bCs w:val="0"/>
          <w:color w:val="auto"/>
          <w:sz w:val="21"/>
          <w:szCs w:val="21"/>
          <w:highlight w:val="none"/>
        </w:rPr>
        <w:t>日至2026年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27</w:t>
      </w:r>
      <w:r>
        <w:rPr>
          <w:rFonts w:hint="eastAsia" w:asciiTheme="minorEastAsia" w:hAnsiTheme="minorEastAsia" w:eastAsiaTheme="minorEastAsia" w:cstheme="minorEastAsia"/>
          <w:b w:val="0"/>
          <w:bCs w:val="0"/>
          <w:color w:val="auto"/>
          <w:sz w:val="21"/>
          <w:szCs w:val="21"/>
          <w:highlight w:val="none"/>
        </w:rPr>
        <w:t>日(上午8:30-12:00，下午14:00-17:00，节假日除外）。</w:t>
      </w:r>
    </w:p>
    <w:p w14:paraId="6249C1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报名地点：</w:t>
      </w:r>
      <w:r>
        <w:rPr>
          <w:rFonts w:hint="eastAsia" w:asciiTheme="minorEastAsia" w:hAnsiTheme="minorEastAsia" w:eastAsiaTheme="minorEastAsia" w:cstheme="minorEastAsia"/>
          <w:b w:val="0"/>
          <w:bCs w:val="0"/>
          <w:color w:val="auto"/>
          <w:sz w:val="21"/>
          <w:szCs w:val="21"/>
          <w:highlight w:val="none"/>
        </w:rPr>
        <w:t>中山市古镇人民医院采购办公室（总务科）。</w:t>
      </w:r>
    </w:p>
    <w:p w14:paraId="6FF404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报名方式：现场报名</w:t>
      </w:r>
      <w:r>
        <w:rPr>
          <w:rFonts w:hint="eastAsia" w:ascii="宋体" w:hAnsi="宋体" w:eastAsia="宋体" w:cs="宋体"/>
          <w:b/>
          <w:bCs/>
          <w:lang w:eastAsia="zh-CN"/>
        </w:rPr>
        <w:t>（</w:t>
      </w:r>
      <w:r>
        <w:rPr>
          <w:rFonts w:hint="eastAsia" w:ascii="宋体" w:hAnsi="宋体" w:eastAsia="宋体" w:cs="宋体"/>
          <w:b/>
          <w:bCs/>
          <w:szCs w:val="21"/>
        </w:rPr>
        <w:t>报价文件</w:t>
      </w:r>
      <w:r>
        <w:rPr>
          <w:rFonts w:hint="eastAsia" w:ascii="宋体" w:hAnsi="宋体" w:eastAsia="宋体" w:cs="宋体"/>
          <w:b/>
          <w:bCs/>
          <w:szCs w:val="21"/>
          <w:lang w:val="en-US" w:eastAsia="zh-CN"/>
        </w:rPr>
        <w:t>与报名可同一时间提交）</w:t>
      </w:r>
      <w:r>
        <w:rPr>
          <w:rFonts w:hint="eastAsia" w:asciiTheme="minorEastAsia" w:hAnsiTheme="minorEastAsia" w:eastAsiaTheme="minorEastAsia" w:cstheme="minorEastAsia"/>
          <w:b/>
          <w:bCs/>
          <w:color w:val="auto"/>
          <w:sz w:val="21"/>
          <w:szCs w:val="21"/>
          <w:highlight w:val="none"/>
        </w:rPr>
        <w:t>，不接受电话、快递、邮寄等方式报名及提交资料。</w:t>
      </w:r>
    </w:p>
    <w:p w14:paraId="1338753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报名资料</w:t>
      </w:r>
      <w:r>
        <w:rPr>
          <w:rFonts w:hint="eastAsia" w:asciiTheme="minorEastAsia" w:hAnsiTheme="minorEastAsia" w:eastAsiaTheme="minorEastAsia" w:cstheme="minorEastAsia"/>
          <w:b/>
          <w:bCs/>
          <w:color w:val="auto"/>
          <w:sz w:val="21"/>
          <w:szCs w:val="21"/>
          <w:highlight w:val="none"/>
        </w:rPr>
        <w:t>：①有效营业执照复印件、②法定代表人证明书</w:t>
      </w:r>
      <w:r>
        <w:rPr>
          <w:rFonts w:hint="eastAsia" w:asciiTheme="minorEastAsia" w:hAnsiTheme="minorEastAsia" w:eastAsiaTheme="minorEastAsia" w:cstheme="minorEastAsia"/>
          <w:b/>
          <w:bCs/>
          <w:color w:val="auto"/>
          <w:sz w:val="21"/>
          <w:szCs w:val="21"/>
          <w:highlight w:val="none"/>
          <w:lang w:eastAsia="zh-CN"/>
        </w:rPr>
        <w:t>原件、</w:t>
      </w:r>
      <w:r>
        <w:rPr>
          <w:rFonts w:hint="eastAsia" w:asciiTheme="minorEastAsia" w:hAnsiTheme="minorEastAsia" w:eastAsiaTheme="minorEastAsia" w:cstheme="minorEastAsia"/>
          <w:b/>
          <w:bCs/>
          <w:color w:val="auto"/>
          <w:sz w:val="21"/>
          <w:szCs w:val="21"/>
          <w:highlight w:val="none"/>
          <w:lang w:val="en-US" w:eastAsia="zh-CN"/>
        </w:rPr>
        <w:t>③</w:t>
      </w:r>
      <w:r>
        <w:rPr>
          <w:rFonts w:hint="eastAsia" w:asciiTheme="minorEastAsia" w:hAnsiTheme="minorEastAsia" w:eastAsiaTheme="minorEastAsia" w:cstheme="minorEastAsia"/>
          <w:b/>
          <w:bCs/>
          <w:color w:val="auto"/>
          <w:sz w:val="21"/>
          <w:szCs w:val="21"/>
          <w:highlight w:val="none"/>
        </w:rPr>
        <w:t>经办人身份证复印件及法定代表人授权委托书原件。</w:t>
      </w:r>
      <w:r>
        <w:rPr>
          <w:rFonts w:hint="eastAsia" w:asciiTheme="minorEastAsia" w:hAnsiTheme="minorEastAsia" w:eastAsiaTheme="minorEastAsia" w:cstheme="minorEastAsia"/>
          <w:color w:val="auto"/>
          <w:kern w:val="28"/>
          <w:sz w:val="21"/>
          <w:szCs w:val="21"/>
          <w:highlight w:val="none"/>
        </w:rPr>
        <w:t>以上证件现场报名期间均需提供原件核查，复印件加盖公章作为报名备案资料。</w:t>
      </w:r>
    </w:p>
    <w:p w14:paraId="438A741C">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本询价文件规定的时间（本次询价均使用北京时间，24小时制）</w:t>
      </w:r>
      <w:r>
        <w:rPr>
          <w:rFonts w:hint="eastAsia" w:asciiTheme="minorEastAsia" w:hAnsiTheme="minorEastAsia" w:eastAsiaTheme="minorEastAsia" w:cstheme="minorEastAsia"/>
          <w:color w:val="auto"/>
          <w:sz w:val="21"/>
          <w:szCs w:val="21"/>
          <w:highlight w:val="none"/>
          <w:lang w:eastAsia="zh-CN"/>
        </w:rPr>
        <w:t>。</w:t>
      </w:r>
    </w:p>
    <w:p w14:paraId="12C6214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递交报价文件截止时间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 xml:space="preserve"> 202</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年</w:t>
      </w:r>
      <w:r>
        <w:rPr>
          <w:rFonts w:hint="eastAsia" w:asciiTheme="minorEastAsia" w:hAnsiTheme="minorEastAsia" w:eastAsiaTheme="minorEastAsia" w:cstheme="minorEastAsia"/>
          <w:b/>
          <w:bCs/>
          <w:color w:val="auto"/>
          <w:sz w:val="21"/>
          <w:szCs w:val="21"/>
          <w:highlight w:val="none"/>
          <w:lang w:val="en-US" w:eastAsia="zh-CN"/>
        </w:rPr>
        <w:t>8</w:t>
      </w:r>
      <w:r>
        <w:rPr>
          <w:rFonts w:hint="eastAsia" w:asciiTheme="minorEastAsia" w:hAnsiTheme="minorEastAsia" w:eastAsiaTheme="minorEastAsia" w:cstheme="minorEastAsia"/>
          <w:b/>
          <w:bCs/>
          <w:color w:val="auto"/>
          <w:sz w:val="21"/>
          <w:szCs w:val="21"/>
          <w:highlight w:val="none"/>
        </w:rPr>
        <w:t>月</w:t>
      </w:r>
      <w:r>
        <w:rPr>
          <w:rFonts w:hint="eastAsia" w:asciiTheme="minorEastAsia" w:hAnsiTheme="minorEastAsia" w:eastAsiaTheme="minorEastAsia" w:cstheme="minorEastAsia"/>
          <w:b/>
          <w:bCs/>
          <w:color w:val="auto"/>
          <w:sz w:val="21"/>
          <w:szCs w:val="21"/>
          <w:highlight w:val="none"/>
          <w:lang w:val="en-US" w:eastAsia="zh-CN"/>
        </w:rPr>
        <w:t>27</w:t>
      </w:r>
      <w:r>
        <w:rPr>
          <w:rFonts w:hint="eastAsia" w:asciiTheme="minorEastAsia" w:hAnsiTheme="minorEastAsia" w:eastAsiaTheme="minorEastAsia" w:cstheme="minorEastAsia"/>
          <w:b/>
          <w:bCs/>
          <w:color w:val="auto"/>
          <w:sz w:val="21"/>
          <w:szCs w:val="21"/>
          <w:highlight w:val="none"/>
        </w:rPr>
        <w:t>日</w:t>
      </w:r>
      <w:r>
        <w:rPr>
          <w:rFonts w:hint="eastAsia" w:asciiTheme="minorEastAsia" w:hAnsiTheme="minorEastAsia" w:eastAsiaTheme="minorEastAsia" w:cstheme="minorEastAsia"/>
          <w:b/>
          <w:bCs/>
          <w:color w:val="auto"/>
          <w:sz w:val="21"/>
          <w:szCs w:val="21"/>
          <w:highlight w:val="none"/>
          <w:lang w:val="en-US" w:eastAsia="zh-CN"/>
        </w:rPr>
        <w:t>下</w:t>
      </w:r>
      <w:r>
        <w:rPr>
          <w:rFonts w:hint="eastAsia" w:asciiTheme="minorEastAsia" w:hAnsiTheme="minorEastAsia" w:eastAsiaTheme="minorEastAsia" w:cstheme="minorEastAsia"/>
          <w:b/>
          <w:bCs/>
          <w:color w:val="auto"/>
          <w:sz w:val="21"/>
          <w:szCs w:val="21"/>
          <w:highlight w:val="none"/>
        </w:rPr>
        <w:t>午</w:t>
      </w:r>
      <w:r>
        <w:rPr>
          <w:rFonts w:hint="eastAsia" w:asciiTheme="minorEastAsia" w:hAnsiTheme="minorEastAsia" w:eastAsiaTheme="minorEastAsia" w:cstheme="minorEastAsia"/>
          <w:b/>
          <w:bCs/>
          <w:color w:val="auto"/>
          <w:sz w:val="21"/>
          <w:szCs w:val="21"/>
          <w:highlight w:val="none"/>
          <w:lang w:val="en-US" w:eastAsia="zh-CN"/>
        </w:rPr>
        <w:t>17</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0时（北京时间）。</w:t>
      </w:r>
    </w:p>
    <w:p w14:paraId="40AA513B">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九、</w:t>
      </w:r>
      <w:r>
        <w:rPr>
          <w:rFonts w:hint="eastAsia" w:asciiTheme="minorEastAsia" w:hAnsiTheme="minorEastAsia" w:eastAsiaTheme="minorEastAsia" w:cstheme="minorEastAsia"/>
          <w:color w:val="auto"/>
          <w:sz w:val="21"/>
          <w:szCs w:val="21"/>
          <w:highlight w:val="none"/>
          <w:lang w:eastAsia="zh-CN"/>
        </w:rPr>
        <w:t>询价评选</w:t>
      </w:r>
      <w:r>
        <w:rPr>
          <w:rFonts w:hint="eastAsia" w:asciiTheme="minorEastAsia" w:hAnsiTheme="minorEastAsia" w:eastAsiaTheme="minorEastAsia" w:cstheme="minorEastAsia"/>
          <w:color w:val="auto"/>
          <w:sz w:val="21"/>
          <w:szCs w:val="21"/>
          <w:highlight w:val="none"/>
        </w:rPr>
        <w:t>时间：202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eastAsia="zh-CN"/>
        </w:rPr>
        <w:t>下午</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（北京时间）</w:t>
      </w:r>
      <w:r>
        <w:rPr>
          <w:rFonts w:hint="eastAsia" w:asciiTheme="minorEastAsia" w:hAnsiTheme="minorEastAsia" w:eastAsiaTheme="minorEastAsia" w:cstheme="minorEastAsia"/>
          <w:color w:val="auto"/>
          <w:sz w:val="21"/>
          <w:szCs w:val="21"/>
          <w:highlight w:val="none"/>
          <w:lang w:eastAsia="zh-CN"/>
        </w:rPr>
        <w:t>。</w:t>
      </w:r>
      <w:bookmarkStart w:id="6" w:name="_GoBack"/>
      <w:bookmarkEnd w:id="6"/>
    </w:p>
    <w:p w14:paraId="702E473F">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w:t>
      </w:r>
      <w:r>
        <w:rPr>
          <w:rFonts w:hint="eastAsia" w:asciiTheme="minorEastAsia" w:hAnsiTheme="minorEastAsia" w:eastAsiaTheme="minorEastAsia" w:cstheme="minorEastAsia"/>
          <w:color w:val="auto"/>
          <w:sz w:val="21"/>
          <w:szCs w:val="21"/>
          <w:highlight w:val="none"/>
        </w:rPr>
        <w:t>递交</w:t>
      </w:r>
      <w:r>
        <w:rPr>
          <w:rFonts w:hint="eastAsia" w:asciiTheme="minorEastAsia" w:hAnsiTheme="minorEastAsia" w:eastAsiaTheme="minorEastAsia" w:cstheme="minorEastAsia"/>
          <w:color w:val="auto"/>
          <w:sz w:val="21"/>
          <w:szCs w:val="21"/>
          <w:highlight w:val="none"/>
          <w:lang w:eastAsia="zh-CN"/>
        </w:rPr>
        <w:t>询价</w:t>
      </w:r>
      <w:r>
        <w:rPr>
          <w:rFonts w:hint="eastAsia" w:asciiTheme="minorEastAsia" w:hAnsiTheme="minorEastAsia" w:eastAsiaTheme="minorEastAsia" w:cstheme="minorEastAsia"/>
          <w:color w:val="auto"/>
          <w:sz w:val="21"/>
          <w:szCs w:val="21"/>
          <w:highlight w:val="none"/>
        </w:rPr>
        <w:t>报价文件地点：中山市古镇人民医院</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办公室</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总务科</w:t>
      </w:r>
      <w:r>
        <w:rPr>
          <w:rFonts w:hint="eastAsia" w:asciiTheme="minorEastAsia" w:hAnsiTheme="minorEastAsia" w:eastAsiaTheme="minorEastAsia" w:cstheme="minorEastAsia"/>
          <w:color w:val="auto"/>
          <w:sz w:val="21"/>
          <w:szCs w:val="21"/>
          <w:highlight w:val="none"/>
          <w:lang w:eastAsia="zh-CN"/>
        </w:rPr>
        <w:t>）。</w:t>
      </w:r>
    </w:p>
    <w:p w14:paraId="165DFA56">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十一、</w:t>
      </w:r>
      <w:r>
        <w:rPr>
          <w:rFonts w:hint="eastAsia" w:asciiTheme="minorEastAsia" w:hAnsiTheme="minorEastAsia" w:eastAsiaTheme="minorEastAsia" w:cstheme="minorEastAsia"/>
          <w:color w:val="auto"/>
          <w:sz w:val="21"/>
          <w:szCs w:val="21"/>
          <w:highlight w:val="none"/>
        </w:rPr>
        <w:t>中山市古镇人民医院将不负责报价人准备报价文件和递交报价文件所发生的任何成本或费用。</w:t>
      </w:r>
    </w:p>
    <w:p w14:paraId="0FBF6EB3">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十二、</w:t>
      </w:r>
      <w:r>
        <w:rPr>
          <w:rFonts w:hint="eastAsia" w:asciiTheme="minorEastAsia" w:hAnsiTheme="minorEastAsia" w:eastAsiaTheme="minorEastAsia" w:cstheme="minorEastAsia"/>
          <w:color w:val="auto"/>
          <w:sz w:val="21"/>
          <w:szCs w:val="21"/>
          <w:highlight w:val="none"/>
        </w:rPr>
        <w:t>采购人联系方式</w:t>
      </w:r>
    </w:p>
    <w:p w14:paraId="6A8F2921">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bCs/>
          <w:color w:val="auto"/>
          <w:kern w:val="28"/>
          <w:sz w:val="21"/>
          <w:szCs w:val="21"/>
          <w:highlight w:val="none"/>
        </w:rPr>
        <w:t>中山市古镇人民医院采购办公室</w:t>
      </w:r>
    </w:p>
    <w:p w14:paraId="2C3E7579">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 xml:space="preserve">张老师       </w:t>
      </w:r>
      <w:r>
        <w:rPr>
          <w:rFonts w:hint="eastAsia" w:asciiTheme="minorEastAsia" w:hAnsiTheme="minorEastAsia" w:eastAsiaTheme="minorEastAsia" w:cstheme="minorEastAsia"/>
          <w:color w:val="auto"/>
          <w:sz w:val="21"/>
          <w:szCs w:val="21"/>
          <w:highlight w:val="none"/>
        </w:rPr>
        <w:t>电</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话：0760-2232</w:t>
      </w:r>
      <w:r>
        <w:rPr>
          <w:rFonts w:hint="eastAsia" w:asciiTheme="minorEastAsia" w:hAnsiTheme="minorEastAsia" w:eastAsiaTheme="minorEastAsia" w:cstheme="minorEastAsia"/>
          <w:color w:val="auto"/>
          <w:sz w:val="21"/>
          <w:szCs w:val="21"/>
          <w:highlight w:val="none"/>
          <w:lang w:val="en-US" w:eastAsia="zh-CN"/>
        </w:rPr>
        <w:t>3790</w:t>
      </w:r>
    </w:p>
    <w:p w14:paraId="0BAA5196">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十三、</w:t>
      </w:r>
      <w:r>
        <w:rPr>
          <w:rFonts w:hint="eastAsia" w:asciiTheme="minorEastAsia" w:hAnsiTheme="minorEastAsia" w:eastAsiaTheme="minorEastAsia" w:cstheme="minorEastAsia"/>
          <w:color w:val="auto"/>
          <w:sz w:val="21"/>
          <w:szCs w:val="21"/>
          <w:highlight w:val="none"/>
        </w:rPr>
        <w:t>有关此次询价之事宜，可按下列地址以书面形式向古镇人民医院查询：</w:t>
      </w:r>
    </w:p>
    <w:p w14:paraId="1F20EEE9">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地址:中山市古镇</w:t>
      </w:r>
      <w:r>
        <w:rPr>
          <w:rFonts w:hint="eastAsia" w:asciiTheme="minorEastAsia" w:hAnsiTheme="minorEastAsia" w:eastAsiaTheme="minorEastAsia" w:cstheme="minorEastAsia"/>
          <w:color w:val="auto"/>
          <w:sz w:val="21"/>
          <w:szCs w:val="21"/>
          <w:highlight w:val="none"/>
          <w:lang w:val="en-US" w:eastAsia="zh-CN"/>
        </w:rPr>
        <w:t>镇华博</w:t>
      </w:r>
      <w:r>
        <w:rPr>
          <w:rFonts w:hint="eastAsia" w:asciiTheme="minorEastAsia" w:hAnsiTheme="minorEastAsia" w:eastAsiaTheme="minorEastAsia" w:cstheme="minorEastAsia"/>
          <w:color w:val="auto"/>
          <w:sz w:val="21"/>
          <w:szCs w:val="21"/>
          <w:highlight w:val="none"/>
        </w:rPr>
        <w:t>路1</w:t>
      </w:r>
      <w:r>
        <w:rPr>
          <w:rFonts w:hint="eastAsia" w:asciiTheme="minorEastAsia" w:hAnsiTheme="minorEastAsia" w:eastAsiaTheme="minorEastAsia" w:cstheme="minorEastAsia"/>
          <w:color w:val="auto"/>
          <w:sz w:val="21"/>
          <w:szCs w:val="21"/>
          <w:highlight w:val="none"/>
          <w:lang w:val="en-US" w:eastAsia="zh-CN"/>
        </w:rPr>
        <w:t>99</w:t>
      </w:r>
      <w:r>
        <w:rPr>
          <w:rFonts w:hint="eastAsia" w:asciiTheme="minorEastAsia" w:hAnsiTheme="minorEastAsia" w:eastAsiaTheme="minorEastAsia" w:cstheme="minorEastAsia"/>
          <w:color w:val="auto"/>
          <w:sz w:val="21"/>
          <w:szCs w:val="21"/>
          <w:highlight w:val="none"/>
        </w:rPr>
        <w:t>号古镇人民医院</w:t>
      </w:r>
      <w:r>
        <w:rPr>
          <w:rFonts w:hint="eastAsia" w:asciiTheme="minorEastAsia" w:hAnsiTheme="minorEastAsia" w:eastAsiaTheme="minorEastAsia" w:cstheme="minorEastAsia"/>
          <w:color w:val="auto"/>
          <w:sz w:val="21"/>
          <w:szCs w:val="21"/>
          <w:highlight w:val="none"/>
          <w:lang w:val="en-US" w:eastAsia="zh-CN"/>
        </w:rPr>
        <w:t>负一楼</w:t>
      </w:r>
      <w:r>
        <w:rPr>
          <w:rFonts w:hint="eastAsia" w:asciiTheme="minorEastAsia" w:hAnsiTheme="minorEastAsia" w:eastAsiaTheme="minorEastAsia" w:cstheme="minorEastAsia"/>
          <w:color w:val="auto"/>
          <w:sz w:val="21"/>
          <w:szCs w:val="21"/>
          <w:highlight w:val="none"/>
        </w:rPr>
        <w:t>总务科</w:t>
      </w:r>
      <w:r>
        <w:rPr>
          <w:rFonts w:hint="eastAsia" w:asciiTheme="minorEastAsia" w:hAnsiTheme="minorEastAsia" w:eastAsiaTheme="minorEastAsia" w:cstheme="minorEastAsia"/>
          <w:color w:val="auto"/>
          <w:sz w:val="21"/>
          <w:szCs w:val="21"/>
          <w:highlight w:val="none"/>
          <w:lang w:val="en-US" w:eastAsia="zh-CN"/>
        </w:rPr>
        <w:t>④室</w:t>
      </w:r>
    </w:p>
    <w:p w14:paraId="758D6284">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联系人：</w:t>
      </w:r>
      <w:r>
        <w:rPr>
          <w:rFonts w:hint="eastAsia" w:ascii="宋体" w:hAnsi="宋体" w:cs="宋体"/>
          <w:szCs w:val="21"/>
          <w:lang w:val="en-US" w:eastAsia="zh-CN"/>
        </w:rPr>
        <w:t>张</w:t>
      </w:r>
      <w:r>
        <w:rPr>
          <w:rFonts w:hint="eastAsia" w:ascii="宋体" w:hAnsi="宋体" w:eastAsia="宋体" w:cs="宋体"/>
          <w:szCs w:val="21"/>
          <w:lang w:val="en-US" w:eastAsia="zh-CN"/>
        </w:rPr>
        <w:t>老师</w:t>
      </w:r>
      <w:r>
        <w:rPr>
          <w:rFonts w:hint="eastAsia" w:ascii="宋体" w:hAnsi="宋体" w:cs="宋体"/>
          <w:szCs w:val="21"/>
          <w:lang w:val="en-US" w:eastAsia="zh-CN"/>
        </w:rPr>
        <w:t xml:space="preserve">       </w:t>
      </w:r>
      <w:r>
        <w:rPr>
          <w:rFonts w:hint="eastAsia" w:ascii="宋体" w:hAnsi="宋体" w:eastAsia="宋体" w:cs="宋体"/>
        </w:rPr>
        <w:t>电  话：</w:t>
      </w:r>
      <w:r>
        <w:rPr>
          <w:rFonts w:hint="eastAsia" w:asciiTheme="minorEastAsia" w:hAnsiTheme="minorEastAsia" w:eastAsiaTheme="minorEastAsia" w:cstheme="minorEastAsia"/>
          <w:color w:val="auto"/>
          <w:sz w:val="21"/>
          <w:szCs w:val="21"/>
          <w:highlight w:val="none"/>
        </w:rPr>
        <w:t>0760-2232</w:t>
      </w:r>
      <w:r>
        <w:rPr>
          <w:rFonts w:hint="eastAsia" w:asciiTheme="minorEastAsia" w:hAnsiTheme="minorEastAsia" w:eastAsiaTheme="minorEastAsia" w:cstheme="minorEastAsia"/>
          <w:color w:val="auto"/>
          <w:sz w:val="21"/>
          <w:szCs w:val="21"/>
          <w:highlight w:val="none"/>
          <w:lang w:val="en-US" w:eastAsia="zh-CN"/>
        </w:rPr>
        <w:t>3790</w:t>
      </w:r>
    </w:p>
    <w:p w14:paraId="56015908">
      <w:pPr>
        <w:keepNext w:val="0"/>
        <w:keepLines w:val="0"/>
        <w:pageBreakBefore w:val="0"/>
        <w:numPr>
          <w:ilvl w:val="0"/>
          <w:numId w:val="4"/>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监督部门：古镇人民医院监察室    联系电话：0760-22329962</w:t>
      </w:r>
    </w:p>
    <w:p w14:paraId="522C8123">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3F2B5ACD">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6598931B">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2CF0C048">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653295E5">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430F57F5">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eastAsia="zh-CN"/>
        </w:rPr>
      </w:pPr>
    </w:p>
    <w:p w14:paraId="2308330C">
      <w:pPr>
        <w:spacing w:line="480" w:lineRule="exact"/>
        <w:jc w:val="center"/>
        <w:rPr>
          <w:rFonts w:hint="eastAsia" w:ascii="宋体" w:hAnsi="宋体" w:eastAsia="宋体" w:cs="宋体"/>
          <w:b/>
          <w:bCs/>
          <w:color w:val="auto"/>
          <w:spacing w:val="2"/>
          <w:sz w:val="32"/>
          <w:szCs w:val="32"/>
          <w:highlight w:val="none"/>
        </w:rPr>
      </w:pPr>
      <w:bookmarkStart w:id="0" w:name="_Toc321725066"/>
      <w:bookmarkStart w:id="1" w:name="_Toc324837482"/>
      <w:bookmarkStart w:id="2" w:name="_Toc324837612"/>
      <w:bookmarkStart w:id="3" w:name="_Toc320890942"/>
      <w:r>
        <w:rPr>
          <w:rFonts w:hint="eastAsia" w:ascii="黑体" w:hAnsi="黑体" w:eastAsia="黑体" w:cs="黑体"/>
          <w:color w:val="auto"/>
          <w:sz w:val="32"/>
          <w:szCs w:val="32"/>
          <w:highlight w:val="none"/>
        </w:rPr>
        <w:t>二、用户需求</w:t>
      </w:r>
      <w:bookmarkEnd w:id="0"/>
      <w:bookmarkEnd w:id="1"/>
      <w:bookmarkEnd w:id="2"/>
      <w:bookmarkEnd w:id="3"/>
    </w:p>
    <w:p w14:paraId="3DF00D05">
      <w:pPr>
        <w:keepNext w:val="0"/>
        <w:keepLines w:val="0"/>
        <w:pageBreakBefore w:val="0"/>
        <w:widowControl/>
        <w:kinsoku/>
        <w:wordWrap/>
        <w:overflowPunct/>
        <w:topLinePunct w:val="0"/>
        <w:autoSpaceDE/>
        <w:autoSpaceDN/>
        <w:bidi w:val="0"/>
        <w:adjustRightInd/>
        <w:snapToGrid/>
        <w:spacing w:before="211" w:line="360" w:lineRule="auto"/>
        <w:textAlignment w:val="auto"/>
        <w:outlineLvl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一、项目要求：</w:t>
      </w:r>
    </w:p>
    <w:p w14:paraId="16DC0CDC">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宋体" w:hAnsi="宋体"/>
          <w:bCs/>
          <w:color w:val="auto"/>
          <w:kern w:val="28"/>
          <w:szCs w:val="21"/>
          <w:highlight w:val="none"/>
          <w:lang w:eastAsia="zh-CN"/>
        </w:rPr>
      </w:pPr>
      <w:r>
        <w:rPr>
          <w:rFonts w:hint="eastAsia" w:ascii="宋体" w:hAnsi="宋体" w:eastAsia="宋体" w:cs="宋体"/>
          <w:b w:val="0"/>
          <w:bCs w:val="0"/>
          <w:color w:val="auto"/>
          <w:spacing w:val="2"/>
          <w:sz w:val="21"/>
          <w:szCs w:val="21"/>
          <w:highlight w:val="none"/>
        </w:rPr>
        <w:t>1、招标的项目及范围为：</w:t>
      </w:r>
      <w:r>
        <w:rPr>
          <w:rFonts w:hint="eastAsia" w:ascii="宋体" w:hAnsi="宋体" w:cs="宋体"/>
          <w:b w:val="0"/>
          <w:bCs w:val="0"/>
          <w:color w:val="auto"/>
          <w:spacing w:val="2"/>
          <w:sz w:val="21"/>
          <w:szCs w:val="21"/>
          <w:highlight w:val="none"/>
          <w:lang w:eastAsia="zh-CN"/>
        </w:rPr>
        <w:t xml:space="preserve"> 中山市古镇人民医院</w:t>
      </w:r>
      <w:r>
        <w:rPr>
          <w:rFonts w:hint="eastAsia" w:asciiTheme="minorEastAsia" w:hAnsiTheme="minorEastAsia" w:eastAsiaTheme="minorEastAsia" w:cstheme="minorEastAsia"/>
          <w:bCs/>
          <w:color w:val="auto"/>
          <w:kern w:val="28"/>
          <w:sz w:val="21"/>
          <w:szCs w:val="21"/>
          <w:highlight w:val="none"/>
          <w:lang w:eastAsia="zh-CN"/>
        </w:rPr>
        <w:t>PACS扩容网络存储设备采购项目</w:t>
      </w:r>
      <w:r>
        <w:rPr>
          <w:rFonts w:hint="eastAsia" w:ascii="宋体" w:hAnsi="宋体"/>
          <w:bCs/>
          <w:color w:val="auto"/>
          <w:kern w:val="28"/>
          <w:szCs w:val="21"/>
          <w:highlight w:val="none"/>
          <w:lang w:eastAsia="zh-CN"/>
        </w:rPr>
        <w:t>。</w:t>
      </w:r>
    </w:p>
    <w:p w14:paraId="11113579">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lang w:val="en-US" w:eastAsia="zh-CN"/>
        </w:rPr>
        <w:t>2</w:t>
      </w:r>
      <w:r>
        <w:rPr>
          <w:rFonts w:hint="eastAsia" w:ascii="宋体" w:hAnsi="宋体" w:eastAsia="宋体" w:cs="宋体"/>
          <w:b w:val="0"/>
          <w:bCs w:val="0"/>
          <w:color w:val="auto"/>
          <w:spacing w:val="2"/>
          <w:sz w:val="21"/>
          <w:szCs w:val="21"/>
          <w:highlight w:val="none"/>
        </w:rPr>
        <w:t>、</w:t>
      </w:r>
      <w:r>
        <w:rPr>
          <w:rFonts w:hint="eastAsia" w:ascii="宋体" w:hAnsi="宋体" w:eastAsia="宋体" w:cs="宋体"/>
          <w:b w:val="0"/>
          <w:bCs w:val="0"/>
          <w:color w:val="auto"/>
          <w:spacing w:val="2"/>
          <w:sz w:val="21"/>
          <w:szCs w:val="21"/>
          <w:highlight w:val="none"/>
          <w:lang w:val="en-US" w:eastAsia="zh-CN"/>
        </w:rPr>
        <w:t>服务</w:t>
      </w:r>
      <w:r>
        <w:rPr>
          <w:rFonts w:hint="eastAsia" w:ascii="宋体" w:hAnsi="宋体" w:eastAsia="宋体" w:cs="宋体"/>
          <w:b w:val="0"/>
          <w:bCs w:val="0"/>
          <w:color w:val="auto"/>
          <w:spacing w:val="2"/>
          <w:sz w:val="21"/>
          <w:szCs w:val="21"/>
          <w:highlight w:val="none"/>
        </w:rPr>
        <w:t>期：</w:t>
      </w:r>
      <w:r>
        <w:rPr>
          <w:rFonts w:hint="eastAsia" w:ascii="宋体" w:hAnsi="宋体" w:eastAsia="宋体" w:cs="宋体"/>
          <w:b w:val="0"/>
          <w:bCs w:val="0"/>
          <w:color w:val="auto"/>
          <w:spacing w:val="2"/>
          <w:sz w:val="21"/>
          <w:szCs w:val="21"/>
          <w:highlight w:val="none"/>
          <w:lang w:val="en-US" w:eastAsia="zh-CN"/>
        </w:rPr>
        <w:t>壹</w:t>
      </w:r>
      <w:r>
        <w:rPr>
          <w:rFonts w:hint="eastAsia" w:ascii="宋体" w:hAnsi="宋体" w:eastAsia="宋体" w:cs="宋体"/>
          <w:b w:val="0"/>
          <w:bCs w:val="0"/>
          <w:color w:val="auto"/>
          <w:spacing w:val="2"/>
          <w:sz w:val="21"/>
          <w:szCs w:val="21"/>
          <w:highlight w:val="none"/>
        </w:rPr>
        <w:t>年。</w:t>
      </w:r>
    </w:p>
    <w:p w14:paraId="50D1026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3、本项目投标应包括：成交人承包及负责方案文件对成交人要求的一切事宜及责任包括货物、运输、安装、调试、验收相关服务等。</w:t>
      </w:r>
    </w:p>
    <w:p w14:paraId="352498D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4、本项目询价文件对成交人要求的一切事宜及责任由成交人承包。</w:t>
      </w:r>
    </w:p>
    <w:p w14:paraId="0F7CAB17">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5、成交人未经采购人批准，不得再以任何方式转包或分包，否则被视为违约，追究当事人责任，并承担相应的损失。</w:t>
      </w:r>
    </w:p>
    <w:p w14:paraId="6111089B">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6、本项目不接受联合体报价。</w:t>
      </w:r>
    </w:p>
    <w:p w14:paraId="6059A0B0">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7、交货时间：</w:t>
      </w:r>
      <w:r>
        <w:rPr>
          <w:rFonts w:hint="eastAsia" w:ascii="宋体" w:hAnsi="宋体" w:eastAsia="宋体" w:cs="宋体"/>
          <w:b w:val="0"/>
          <w:bCs w:val="0"/>
          <w:color w:val="auto"/>
          <w:spacing w:val="2"/>
          <w:sz w:val="21"/>
          <w:szCs w:val="21"/>
          <w:highlight w:val="none"/>
          <w:lang w:val="en-US" w:eastAsia="zh-CN"/>
        </w:rPr>
        <w:t>按</w:t>
      </w:r>
      <w:r>
        <w:rPr>
          <w:rFonts w:hint="eastAsia" w:ascii="宋体" w:hAnsi="宋体" w:eastAsia="宋体" w:cs="宋体"/>
          <w:b w:val="0"/>
          <w:bCs w:val="0"/>
          <w:color w:val="auto"/>
          <w:spacing w:val="2"/>
          <w:sz w:val="21"/>
          <w:szCs w:val="21"/>
          <w:highlight w:val="none"/>
        </w:rPr>
        <w:t>合同签订或采购人通知。</w:t>
      </w:r>
    </w:p>
    <w:p w14:paraId="3AB9D3E9">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8、交货地点：中山市古镇人民医院指定地点。  </w:t>
      </w:r>
    </w:p>
    <w:p w14:paraId="30A5A423">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9、验货方式：成交人对提供货物的质量、安全承担全部责任。并保证供应的物资质量符合国家标准，符合国家法律法规及地方政府有关规定，外包装完好无破损全新货品。</w:t>
      </w:r>
    </w:p>
    <w:p w14:paraId="21C68780">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10、报价要求：本次报价为人民币报价，包含：货物费、运输费、安装费、税费（含关税）等所有费用。</w:t>
      </w:r>
    </w:p>
    <w:p w14:paraId="4A6405A6">
      <w:pPr>
        <w:pStyle w:val="90"/>
        <w:keepNext w:val="0"/>
        <w:keepLines w:val="0"/>
        <w:pageBreakBefore w:val="0"/>
        <w:widowControl/>
        <w:kinsoku/>
        <w:wordWrap/>
        <w:overflowPunct/>
        <w:topLinePunct w:val="0"/>
        <w:autoSpaceDE/>
        <w:autoSpaceDN/>
        <w:bidi w:val="0"/>
        <w:adjustRightInd/>
        <w:snapToGrid/>
        <w:spacing w:line="360" w:lineRule="auto"/>
        <w:ind w:firstLine="428" w:firstLineChars="200"/>
        <w:jc w:val="both"/>
        <w:textAlignment w:val="auto"/>
        <w:rPr>
          <w:rFonts w:hint="eastAsia" w:ascii="宋体" w:hAnsi="宋体" w:eastAsia="宋体" w:cs="宋体"/>
          <w:b w:val="0"/>
          <w:bCs w:val="0"/>
          <w:color w:val="auto"/>
          <w:spacing w:val="2"/>
          <w:sz w:val="21"/>
          <w:szCs w:val="21"/>
          <w:highlight w:val="none"/>
        </w:rPr>
      </w:pPr>
      <w:r>
        <w:rPr>
          <w:rFonts w:hint="eastAsia" w:ascii="宋体" w:hAnsi="宋体" w:eastAsia="宋体" w:cs="宋体"/>
          <w:b w:val="0"/>
          <w:bCs w:val="0"/>
          <w:color w:val="auto"/>
          <w:spacing w:val="2"/>
          <w:sz w:val="21"/>
          <w:szCs w:val="21"/>
          <w:highlight w:val="none"/>
        </w:rPr>
        <w:t>11、付款方式：成交供应商完成项目全部内容</w:t>
      </w:r>
      <w:r>
        <w:rPr>
          <w:rFonts w:hint="eastAsia" w:ascii="宋体" w:hAnsi="宋体" w:eastAsia="宋体" w:cs="宋体"/>
          <w:b w:val="0"/>
          <w:bCs w:val="0"/>
          <w:color w:val="auto"/>
          <w:spacing w:val="2"/>
          <w:sz w:val="21"/>
          <w:szCs w:val="21"/>
          <w:highlight w:val="none"/>
          <w:lang w:val="en-US" w:eastAsia="zh-CN"/>
        </w:rPr>
        <w:t>并验收合格</w:t>
      </w:r>
      <w:r>
        <w:rPr>
          <w:rFonts w:hint="eastAsia" w:ascii="宋体" w:hAnsi="宋体" w:eastAsia="宋体" w:cs="宋体"/>
          <w:b w:val="0"/>
          <w:bCs w:val="0"/>
          <w:color w:val="auto"/>
          <w:spacing w:val="2"/>
          <w:sz w:val="21"/>
          <w:szCs w:val="21"/>
          <w:highlight w:val="none"/>
        </w:rPr>
        <w:t>后， 采购人收到发票后30个工作日内支付项目总费用金额。  </w:t>
      </w:r>
    </w:p>
    <w:p w14:paraId="4D556A2C">
      <w:pPr>
        <w:pStyle w:val="9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color w:val="auto"/>
          <w:sz w:val="21"/>
          <w:szCs w:val="21"/>
          <w:highlight w:val="none"/>
        </w:rPr>
      </w:pPr>
      <w:r>
        <w:rPr>
          <w:rFonts w:hint="eastAsia" w:ascii="宋体" w:hAnsi="宋体" w:eastAsia="宋体" w:cs="宋体"/>
          <w:b/>
          <w:bCs/>
          <w:color w:val="auto"/>
          <w:spacing w:val="2"/>
          <w:sz w:val="21"/>
          <w:szCs w:val="21"/>
          <w:highlight w:val="none"/>
          <w:lang w:val="en-US" w:eastAsia="zh-CN"/>
        </w:rPr>
        <w:t>二、技术参数要求 ：</w:t>
      </w:r>
    </w:p>
    <w:p w14:paraId="079B7C23">
      <w:pPr>
        <w:pStyle w:val="90"/>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（一）项目描述</w:t>
      </w:r>
    </w:p>
    <w:p w14:paraId="2D4DD934">
      <w:pPr>
        <w:pStyle w:val="90"/>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color w:val="auto"/>
          <w:sz w:val="21"/>
          <w:szCs w:val="21"/>
          <w:highlight w:val="none"/>
          <w:lang w:val="en-US" w:eastAsia="zh-CN"/>
        </w:rPr>
      </w:pPr>
      <w:r>
        <w:rPr>
          <w:rFonts w:hint="eastAsia" w:asciiTheme="minorEastAsia" w:hAnsiTheme="minorEastAsia" w:eastAsiaTheme="minorEastAsia" w:cstheme="minorEastAsia"/>
          <w:b w:val="0"/>
          <w:color w:val="auto"/>
          <w:sz w:val="21"/>
          <w:szCs w:val="21"/>
          <w:highlight w:val="none"/>
          <w:lang w:val="en-US" w:eastAsia="zh-CN"/>
        </w:rPr>
        <w:t>1.中山市古镇人民医院 PACS 系统承担全院医学影像的采集、传输、存储与调阅，影像数据持续增长，现有在线存储容量已趋于饱和，难以满足影像数据长期在线存储需求。根据国家医保局《医保影像云基础规范》，门急诊影像数据须保存不少于 15 年、住院影像数据须保存不少于 30 年，现有超融合资源不足，在线存储扩容已成为保障 PACS 系统稳定运行和影像数据合规保存的必要举措。</w:t>
      </w:r>
    </w:p>
    <w:p w14:paraId="30CA7B33">
      <w:pPr>
        <w:pStyle w:val="90"/>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color w:val="auto"/>
          <w:sz w:val="21"/>
          <w:szCs w:val="21"/>
          <w:highlight w:val="none"/>
          <w:lang w:val="en-US" w:eastAsia="zh-CN"/>
        </w:rPr>
      </w:pPr>
      <w:r>
        <w:rPr>
          <w:rFonts w:hint="eastAsia" w:asciiTheme="minorEastAsia" w:hAnsiTheme="minorEastAsia" w:eastAsiaTheme="minorEastAsia" w:cstheme="minorEastAsia"/>
          <w:b w:val="0"/>
          <w:color w:val="auto"/>
          <w:sz w:val="21"/>
          <w:szCs w:val="21"/>
          <w:highlight w:val="none"/>
          <w:lang w:val="en-US" w:eastAsia="zh-CN"/>
        </w:rPr>
        <w:t>2.本次扩容基于医院现有5节点H3C UniServerR4900G5超融合平台实施，采购硬盘扩容及配套技术服务，用于扩充超融合分布式存储资源池的高性能容量层，满足 PACS 在线影像数据存储需求，并由设备原厂工程师完成对现有H3C UniServerR4900G6分布式存储授权配置及系统初始化及副本数策略配置。</w:t>
      </w:r>
    </w:p>
    <w:p w14:paraId="2DCFFC26">
      <w:pPr>
        <w:pStyle w:val="90"/>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p>
    <w:p w14:paraId="1EF96DDA">
      <w:pPr>
        <w:pStyle w:val="90"/>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（二）采购清单</w:t>
      </w:r>
    </w:p>
    <w:tbl>
      <w:tblPr>
        <w:tblStyle w:val="44"/>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740"/>
        <w:gridCol w:w="4260"/>
        <w:gridCol w:w="835"/>
        <w:gridCol w:w="835"/>
      </w:tblGrid>
      <w:tr w14:paraId="590B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05" w:type="dxa"/>
            <w:vAlign w:val="bottom"/>
          </w:tcPr>
          <w:p w14:paraId="30ABD1C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lang w:eastAsia="zh-CN"/>
              </w:rPr>
            </w:pPr>
            <w:r>
              <w:rPr>
                <w:rFonts w:hint="eastAsia" w:ascii="宋体" w:hAnsi="宋体" w:eastAsia="宋体" w:cs="宋体"/>
                <w:b/>
                <w:color w:val="auto"/>
                <w:lang w:eastAsia="zh-CN"/>
              </w:rPr>
              <w:t>序号</w:t>
            </w:r>
          </w:p>
        </w:tc>
        <w:tc>
          <w:tcPr>
            <w:tcW w:w="1740" w:type="dxa"/>
            <w:vAlign w:val="bottom"/>
          </w:tcPr>
          <w:p w14:paraId="4A9BC85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lang w:eastAsia="zh-CN"/>
              </w:rPr>
            </w:pPr>
            <w:r>
              <w:rPr>
                <w:rFonts w:hint="eastAsia" w:ascii="宋体" w:hAnsi="宋体" w:eastAsia="宋体" w:cs="宋体"/>
                <w:b/>
                <w:color w:val="auto"/>
                <w:lang w:eastAsia="zh-CN"/>
              </w:rPr>
              <w:t>标的名称</w:t>
            </w:r>
          </w:p>
        </w:tc>
        <w:tc>
          <w:tcPr>
            <w:tcW w:w="4260" w:type="dxa"/>
            <w:vAlign w:val="bottom"/>
          </w:tcPr>
          <w:p w14:paraId="55616D8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lang w:eastAsia="zh-CN"/>
              </w:rPr>
            </w:pPr>
            <w:r>
              <w:rPr>
                <w:rFonts w:hint="eastAsia" w:ascii="宋体" w:hAnsi="宋体" w:eastAsia="宋体" w:cs="宋体"/>
                <w:b/>
                <w:color w:val="auto"/>
                <w:lang w:eastAsia="zh-CN"/>
              </w:rPr>
              <w:t>规格</w:t>
            </w:r>
            <w:r>
              <w:rPr>
                <w:rFonts w:hint="eastAsia" w:ascii="宋体" w:hAnsi="宋体" w:cs="宋体"/>
                <w:b/>
                <w:color w:val="auto"/>
                <w:lang w:val="en-US" w:eastAsia="zh-CN"/>
              </w:rPr>
              <w:t>描</w:t>
            </w:r>
            <w:r>
              <w:rPr>
                <w:rFonts w:hint="eastAsia" w:ascii="宋体" w:hAnsi="宋体" w:eastAsia="宋体" w:cs="宋体"/>
                <w:b/>
                <w:color w:val="auto"/>
                <w:lang w:eastAsia="zh-CN"/>
              </w:rPr>
              <w:t>述</w:t>
            </w:r>
          </w:p>
        </w:tc>
        <w:tc>
          <w:tcPr>
            <w:tcW w:w="835" w:type="dxa"/>
            <w:vAlign w:val="bottom"/>
          </w:tcPr>
          <w:p w14:paraId="15B479B1">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lang w:eastAsia="zh-CN"/>
              </w:rPr>
            </w:pPr>
            <w:r>
              <w:rPr>
                <w:rFonts w:hint="eastAsia" w:ascii="宋体" w:hAnsi="宋体" w:eastAsia="宋体" w:cs="宋体"/>
                <w:b/>
                <w:color w:val="auto"/>
                <w:lang w:eastAsia="zh-CN"/>
              </w:rPr>
              <w:t>数量</w:t>
            </w:r>
          </w:p>
        </w:tc>
        <w:tc>
          <w:tcPr>
            <w:tcW w:w="835" w:type="dxa"/>
            <w:vAlign w:val="bottom"/>
          </w:tcPr>
          <w:p w14:paraId="47AD290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lang w:eastAsia="zh-CN"/>
              </w:rPr>
            </w:pPr>
            <w:r>
              <w:rPr>
                <w:rFonts w:hint="eastAsia" w:ascii="宋体" w:hAnsi="宋体" w:eastAsia="宋体" w:cs="宋体"/>
                <w:b/>
                <w:color w:val="auto"/>
                <w:lang w:eastAsia="zh-CN"/>
              </w:rPr>
              <w:t>单位</w:t>
            </w:r>
          </w:p>
        </w:tc>
      </w:tr>
      <w:tr w14:paraId="37EA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5" w:type="dxa"/>
            <w:vAlign w:val="center"/>
          </w:tcPr>
          <w:p w14:paraId="16A2588B">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1</w:t>
            </w:r>
          </w:p>
        </w:tc>
        <w:tc>
          <w:tcPr>
            <w:tcW w:w="1740" w:type="dxa"/>
            <w:vAlign w:val="center"/>
          </w:tcPr>
          <w:p w14:paraId="6D2B7DDF">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超融合 NVMe SSD</w:t>
            </w:r>
          </w:p>
        </w:tc>
        <w:tc>
          <w:tcPr>
            <w:tcW w:w="4260" w:type="dxa"/>
            <w:vAlign w:val="center"/>
          </w:tcPr>
          <w:p w14:paraId="3888C8C0">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1.92TB SSD</w:t>
            </w:r>
          </w:p>
        </w:tc>
        <w:tc>
          <w:tcPr>
            <w:tcW w:w="835" w:type="dxa"/>
            <w:vAlign w:val="center"/>
          </w:tcPr>
          <w:p w14:paraId="728A479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5</w:t>
            </w:r>
          </w:p>
        </w:tc>
        <w:tc>
          <w:tcPr>
            <w:tcW w:w="835" w:type="dxa"/>
            <w:vAlign w:val="center"/>
          </w:tcPr>
          <w:p w14:paraId="3DE93D87">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块</w:t>
            </w:r>
          </w:p>
        </w:tc>
      </w:tr>
      <w:tr w14:paraId="4614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5" w:type="dxa"/>
            <w:vAlign w:val="center"/>
          </w:tcPr>
          <w:p w14:paraId="3049594B">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2</w:t>
            </w:r>
          </w:p>
        </w:tc>
        <w:tc>
          <w:tcPr>
            <w:tcW w:w="1740" w:type="dxa"/>
            <w:vAlign w:val="center"/>
          </w:tcPr>
          <w:p w14:paraId="08F355C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技术服务</w:t>
            </w:r>
          </w:p>
        </w:tc>
        <w:tc>
          <w:tcPr>
            <w:tcW w:w="4260" w:type="dxa"/>
            <w:vAlign w:val="center"/>
          </w:tcPr>
          <w:p w14:paraId="7A2DC03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宋体" w:hAnsi="宋体" w:eastAsia="宋体" w:cs="宋体"/>
                <w:color w:val="auto"/>
                <w:lang w:val="en-US" w:eastAsia="zh-CN"/>
              </w:rPr>
            </w:pPr>
            <w:r>
              <w:rPr>
                <w:rFonts w:hint="eastAsia" w:ascii="宋体" w:hAnsi="宋体" w:cs="宋体"/>
                <w:color w:val="auto"/>
                <w:lang w:val="en-US" w:eastAsia="zh-CN"/>
              </w:rPr>
              <w:t>设备</w:t>
            </w:r>
            <w:r>
              <w:rPr>
                <w:rFonts w:hint="eastAsia" w:ascii="宋体" w:hAnsi="宋体" w:eastAsia="宋体" w:cs="宋体"/>
                <w:color w:val="auto"/>
                <w:lang w:eastAsia="zh-CN"/>
              </w:rPr>
              <w:t>安装、</w:t>
            </w:r>
            <w:r>
              <w:rPr>
                <w:rFonts w:hint="eastAsia" w:ascii="宋体" w:hAnsi="宋体" w:cs="宋体"/>
                <w:color w:val="auto"/>
                <w:lang w:val="en-US" w:eastAsia="zh-CN"/>
              </w:rPr>
              <w:t>对现有</w:t>
            </w:r>
            <w:r>
              <w:rPr>
                <w:rFonts w:hint="eastAsia" w:ascii="宋体" w:hAnsi="宋体" w:eastAsia="宋体" w:cs="宋体"/>
                <w:color w:val="auto"/>
                <w:lang w:eastAsia="zh-CN"/>
              </w:rPr>
              <w:t>超融合</w:t>
            </w:r>
            <w:r>
              <w:rPr>
                <w:rFonts w:hint="eastAsia" w:ascii="宋体" w:hAnsi="宋体" w:cs="宋体"/>
                <w:color w:val="auto"/>
                <w:lang w:val="en-US" w:eastAsia="zh-CN"/>
              </w:rPr>
              <w:t>及</w:t>
            </w:r>
            <w:r>
              <w:rPr>
                <w:rFonts w:hint="eastAsia" w:ascii="宋体" w:hAnsi="宋体" w:eastAsia="宋体" w:cs="宋体"/>
                <w:color w:val="auto"/>
                <w:lang w:eastAsia="zh-CN"/>
              </w:rPr>
              <w:t>分布式存储</w:t>
            </w:r>
            <w:r>
              <w:rPr>
                <w:rFonts w:hint="eastAsia" w:ascii="宋体" w:hAnsi="宋体" w:cs="宋体"/>
                <w:color w:val="auto"/>
                <w:lang w:val="en-US" w:eastAsia="zh-CN"/>
              </w:rPr>
              <w:t>数据备份，</w:t>
            </w:r>
            <w:r>
              <w:rPr>
                <w:rFonts w:hint="eastAsia" w:ascii="宋体" w:hAnsi="宋体" w:eastAsia="宋体" w:cs="宋体"/>
                <w:color w:val="auto"/>
                <w:lang w:eastAsia="zh-CN"/>
              </w:rPr>
              <w:t>授权配置与系统初始化、分布式存储重新初始化并重新配置副本数策略</w:t>
            </w:r>
            <w:r>
              <w:rPr>
                <w:rFonts w:hint="eastAsia" w:ascii="宋体" w:hAnsi="宋体" w:cs="宋体"/>
                <w:color w:val="auto"/>
                <w:lang w:eastAsia="zh-CN"/>
              </w:rPr>
              <w:t>，</w:t>
            </w:r>
            <w:r>
              <w:rPr>
                <w:rFonts w:hint="eastAsia" w:ascii="宋体" w:hAnsi="宋体" w:cs="宋体"/>
                <w:color w:val="auto"/>
                <w:lang w:val="en-US" w:eastAsia="zh-CN"/>
              </w:rPr>
              <w:t>需由原厂工程师实施交付</w:t>
            </w:r>
          </w:p>
        </w:tc>
        <w:tc>
          <w:tcPr>
            <w:tcW w:w="835" w:type="dxa"/>
            <w:vAlign w:val="center"/>
          </w:tcPr>
          <w:p w14:paraId="483364BB">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1</w:t>
            </w:r>
          </w:p>
        </w:tc>
        <w:tc>
          <w:tcPr>
            <w:tcW w:w="835" w:type="dxa"/>
            <w:vAlign w:val="center"/>
          </w:tcPr>
          <w:p w14:paraId="76AC2BAD">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lang w:eastAsia="zh-CN"/>
              </w:rPr>
              <w:t>项</w:t>
            </w:r>
          </w:p>
        </w:tc>
      </w:tr>
    </w:tbl>
    <w:p w14:paraId="407F2979">
      <w:pPr>
        <w:pStyle w:val="90"/>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val="0"/>
          <w:color w:val="auto"/>
          <w:sz w:val="21"/>
          <w:szCs w:val="21"/>
          <w:highlight w:val="none"/>
          <w:lang w:val="en-US" w:eastAsia="zh-CN"/>
        </w:rPr>
      </w:pPr>
    </w:p>
    <w:p w14:paraId="16372680">
      <w:pPr>
        <w:pStyle w:val="90"/>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技术参数要求</w:t>
      </w:r>
    </w:p>
    <w:p w14:paraId="41A9FABF">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color w:val="auto"/>
          <w:sz w:val="21"/>
          <w:szCs w:val="21"/>
          <w:highlight w:val="none"/>
          <w:lang w:val="en-US" w:eastAsia="zh-CN"/>
        </w:rPr>
      </w:pPr>
      <w:r>
        <w:rPr>
          <w:rFonts w:hint="default" w:asciiTheme="minorEastAsia" w:hAnsiTheme="minorEastAsia" w:eastAsiaTheme="minorEastAsia" w:cstheme="minorEastAsia"/>
          <w:b w:val="0"/>
          <w:color w:val="auto"/>
          <w:sz w:val="21"/>
          <w:szCs w:val="21"/>
          <w:highlight w:val="none"/>
          <w:lang w:val="en-US" w:eastAsia="zh-CN"/>
        </w:rPr>
        <w:t>下列技术参数中，标注"★"的条款为实质性要求，投标产品必须满足，任一项不满足即作无效投标处理；未标注条款为负偏离扣分项。所投产品须与采购人现有超融合同品牌或平台兼容。</w:t>
      </w:r>
    </w:p>
    <w:p w14:paraId="18B1D72A">
      <w:pPr>
        <w:pStyle w:val="90"/>
        <w:keepNext w:val="0"/>
        <w:keepLines w:val="0"/>
        <w:pageBreakBefore w:val="0"/>
        <w:widowControl/>
        <w:numPr>
          <w:ilvl w:val="0"/>
          <w:numId w:val="6"/>
        </w:numPr>
        <w:kinsoku/>
        <w:wordWrap/>
        <w:overflowPunct/>
        <w:topLinePunct w:val="0"/>
        <w:autoSpaceDE/>
        <w:autoSpaceDN/>
        <w:bidi w:val="0"/>
        <w:adjustRightInd/>
        <w:snapToGrid/>
        <w:spacing w:line="360" w:lineRule="auto"/>
        <w:ind w:firstLine="422" w:firstLineChars="200"/>
        <w:jc w:val="left"/>
        <w:textAlignment w:val="auto"/>
        <w:rPr>
          <w:rFonts w:hint="default" w:asciiTheme="minorEastAsia" w:hAnsiTheme="minorEastAsia" w:eastAsiaTheme="minorEastAsia" w:cstheme="minorEastAsia"/>
          <w:b/>
          <w:bCs/>
          <w:color w:val="auto"/>
          <w:sz w:val="21"/>
          <w:szCs w:val="21"/>
          <w:highlight w:val="none"/>
          <w:lang w:val="en-US" w:eastAsia="zh-CN"/>
        </w:rPr>
      </w:pPr>
      <w:r>
        <w:rPr>
          <w:rFonts w:hint="default" w:asciiTheme="minorEastAsia" w:hAnsiTheme="minorEastAsia" w:eastAsiaTheme="minorEastAsia" w:cstheme="minorEastAsia"/>
          <w:b/>
          <w:bCs/>
          <w:color w:val="auto"/>
          <w:sz w:val="21"/>
          <w:szCs w:val="21"/>
          <w:highlight w:val="none"/>
          <w:lang w:val="en-US" w:eastAsia="zh-CN"/>
        </w:rPr>
        <w:t>超融合 NVMe SSD</w:t>
      </w:r>
    </w:p>
    <w:tbl>
      <w:tblPr>
        <w:tblStyle w:val="44"/>
        <w:tblW w:w="8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755"/>
        <w:gridCol w:w="5926"/>
      </w:tblGrid>
      <w:tr w14:paraId="6E35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91" w:type="dxa"/>
            <w:vAlign w:val="center"/>
          </w:tcPr>
          <w:p w14:paraId="4435F159">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rPr>
            </w:pPr>
            <w:r>
              <w:rPr>
                <w:rFonts w:hint="eastAsia" w:ascii="宋体" w:hAnsi="宋体" w:eastAsia="宋体" w:cs="宋体"/>
                <w:b/>
                <w:color w:val="auto"/>
              </w:rPr>
              <w:t>序号</w:t>
            </w:r>
          </w:p>
        </w:tc>
        <w:tc>
          <w:tcPr>
            <w:tcW w:w="1755" w:type="dxa"/>
            <w:vAlign w:val="center"/>
          </w:tcPr>
          <w:p w14:paraId="6478AE7C">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rPr>
            </w:pPr>
            <w:r>
              <w:rPr>
                <w:rFonts w:hint="eastAsia" w:ascii="宋体" w:hAnsi="宋体" w:eastAsia="宋体" w:cs="宋体"/>
                <w:b/>
                <w:color w:val="auto"/>
              </w:rPr>
              <w:t>指标项</w:t>
            </w:r>
          </w:p>
        </w:tc>
        <w:tc>
          <w:tcPr>
            <w:tcW w:w="5926" w:type="dxa"/>
            <w:vAlign w:val="center"/>
          </w:tcPr>
          <w:p w14:paraId="04CAAC02">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b/>
                <w:color w:val="auto"/>
              </w:rPr>
            </w:pPr>
            <w:r>
              <w:rPr>
                <w:rFonts w:hint="eastAsia" w:ascii="宋体" w:hAnsi="宋体" w:eastAsia="宋体" w:cs="宋体"/>
                <w:b/>
                <w:color w:val="auto"/>
              </w:rPr>
              <w:t>技术规格要求</w:t>
            </w:r>
          </w:p>
        </w:tc>
      </w:tr>
      <w:tr w14:paraId="314A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1529E5B8">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1</w:t>
            </w:r>
          </w:p>
        </w:tc>
        <w:tc>
          <w:tcPr>
            <w:tcW w:w="1755" w:type="dxa"/>
            <w:vAlign w:val="center"/>
          </w:tcPr>
          <w:p w14:paraId="035E8F4D">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容量</w:t>
            </w:r>
          </w:p>
        </w:tc>
        <w:tc>
          <w:tcPr>
            <w:tcW w:w="5926" w:type="dxa"/>
            <w:vAlign w:val="center"/>
          </w:tcPr>
          <w:p w14:paraId="5DAC2D13">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★单盘格式化容量≥1.92TB</w:t>
            </w:r>
          </w:p>
        </w:tc>
      </w:tr>
      <w:tr w14:paraId="7089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vAlign w:val="center"/>
          </w:tcPr>
          <w:p w14:paraId="0437E117">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2</w:t>
            </w:r>
          </w:p>
        </w:tc>
        <w:tc>
          <w:tcPr>
            <w:tcW w:w="1755" w:type="dxa"/>
            <w:vAlign w:val="center"/>
          </w:tcPr>
          <w:p w14:paraId="6EC2ECB8">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接口</w:t>
            </w:r>
          </w:p>
        </w:tc>
        <w:tc>
          <w:tcPr>
            <w:tcW w:w="5926" w:type="dxa"/>
            <w:vAlign w:val="center"/>
          </w:tcPr>
          <w:p w14:paraId="470045FB">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★接口类型 PCIe4.0 x4 NVMe，U.2 外形</w:t>
            </w:r>
          </w:p>
        </w:tc>
      </w:tr>
      <w:tr w14:paraId="4A52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66202C44">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3</w:t>
            </w:r>
          </w:p>
        </w:tc>
        <w:tc>
          <w:tcPr>
            <w:tcW w:w="1755" w:type="dxa"/>
            <w:vAlign w:val="center"/>
          </w:tcPr>
          <w:p w14:paraId="7B4F123A">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协议</w:t>
            </w:r>
          </w:p>
        </w:tc>
        <w:tc>
          <w:tcPr>
            <w:tcW w:w="5926" w:type="dxa"/>
            <w:vAlign w:val="center"/>
          </w:tcPr>
          <w:p w14:paraId="237B3FFF">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支持 NVMe 协议</w:t>
            </w:r>
          </w:p>
        </w:tc>
      </w:tr>
      <w:tr w14:paraId="23F9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66EC93B0">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4</w:t>
            </w:r>
          </w:p>
        </w:tc>
        <w:tc>
          <w:tcPr>
            <w:tcW w:w="1755" w:type="dxa"/>
            <w:vAlign w:val="center"/>
          </w:tcPr>
          <w:p w14:paraId="1CEAA487">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外形规格</w:t>
            </w:r>
          </w:p>
        </w:tc>
        <w:tc>
          <w:tcPr>
            <w:tcW w:w="5926" w:type="dxa"/>
            <w:vAlign w:val="center"/>
          </w:tcPr>
          <w:p w14:paraId="70B67D7F">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★U.2（2.5 英寸托架 / 3.5 英寸 RI 兼容），须适配采购人现有超融合节点硬盘位</w:t>
            </w:r>
          </w:p>
        </w:tc>
      </w:tr>
      <w:tr w14:paraId="4A1B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314A81B4">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5</w:t>
            </w:r>
          </w:p>
        </w:tc>
        <w:tc>
          <w:tcPr>
            <w:tcW w:w="1755" w:type="dxa"/>
            <w:vAlign w:val="center"/>
          </w:tcPr>
          <w:p w14:paraId="125E927C">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硬盘类型</w:t>
            </w:r>
          </w:p>
        </w:tc>
        <w:tc>
          <w:tcPr>
            <w:tcW w:w="5926" w:type="dxa"/>
            <w:vAlign w:val="center"/>
          </w:tcPr>
          <w:p w14:paraId="51266C72">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超融合 NVMe SSD</w:t>
            </w:r>
          </w:p>
        </w:tc>
      </w:tr>
      <w:tr w14:paraId="4C28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3D47ACC6">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6</w:t>
            </w:r>
          </w:p>
        </w:tc>
        <w:tc>
          <w:tcPr>
            <w:tcW w:w="1755" w:type="dxa"/>
            <w:vAlign w:val="center"/>
          </w:tcPr>
          <w:p w14:paraId="01BC03CC">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原厂供货证明</w:t>
            </w:r>
          </w:p>
        </w:tc>
        <w:tc>
          <w:tcPr>
            <w:tcW w:w="5926" w:type="dxa"/>
            <w:vAlign w:val="center"/>
          </w:tcPr>
          <w:p w14:paraId="24EA50C0">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color w:val="auto"/>
                <w:lang w:eastAsia="zh-CN"/>
              </w:rPr>
              <w:t>▲</w:t>
            </w:r>
            <w:r>
              <w:rPr>
                <w:rFonts w:hint="eastAsia" w:ascii="宋体" w:hAnsi="宋体" w:eastAsia="宋体" w:cs="宋体"/>
                <w:color w:val="auto"/>
              </w:rPr>
              <w:t>供货时须提供原厂供货证明（或原厂授权书/原厂质保函），证明产品为原厂正规渠道货源</w:t>
            </w:r>
          </w:p>
        </w:tc>
      </w:tr>
      <w:tr w14:paraId="6FAC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4AA6B8ED">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7</w:t>
            </w:r>
          </w:p>
        </w:tc>
        <w:tc>
          <w:tcPr>
            <w:tcW w:w="1755" w:type="dxa"/>
            <w:vAlign w:val="center"/>
          </w:tcPr>
          <w:p w14:paraId="791132C9">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eastAsia="宋体" w:cs="宋体"/>
                <w:color w:val="auto"/>
              </w:rPr>
              <w:t>原厂售后证明</w:t>
            </w:r>
          </w:p>
        </w:tc>
        <w:tc>
          <w:tcPr>
            <w:tcW w:w="5926" w:type="dxa"/>
            <w:vAlign w:val="center"/>
          </w:tcPr>
          <w:p w14:paraId="23D64F4B">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color w:val="auto"/>
                <w:lang w:eastAsia="zh-CN"/>
              </w:rPr>
              <w:t>▲</w:t>
            </w:r>
            <w:r>
              <w:rPr>
                <w:rFonts w:hint="eastAsia" w:ascii="宋体" w:hAnsi="宋体" w:eastAsia="宋体" w:cs="宋体"/>
                <w:color w:val="auto"/>
              </w:rPr>
              <w:t>须提供原厂售后服务承诺证明</w:t>
            </w:r>
            <w:r>
              <w:rPr>
                <w:rFonts w:hint="eastAsia"/>
                <w:color w:val="auto"/>
                <w:highlight w:val="none"/>
                <w:lang w:eastAsia="zh-CN"/>
              </w:rPr>
              <w:t>并加盖原厂公章</w:t>
            </w:r>
            <w:r>
              <w:rPr>
                <w:rFonts w:hint="eastAsia" w:ascii="宋体" w:hAnsi="宋体" w:eastAsia="宋体" w:cs="宋体"/>
                <w:color w:val="auto"/>
              </w:rPr>
              <w:t>，明确原厂质保期限及售后响应机制</w:t>
            </w:r>
          </w:p>
        </w:tc>
      </w:tr>
      <w:tr w14:paraId="1900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7AF78E79">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8</w:t>
            </w:r>
          </w:p>
        </w:tc>
        <w:tc>
          <w:tcPr>
            <w:tcW w:w="1755" w:type="dxa"/>
            <w:vAlign w:val="center"/>
          </w:tcPr>
          <w:p w14:paraId="75CC8288">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宋体" w:hAnsi="宋体" w:eastAsia="宋体" w:cs="宋体"/>
                <w:color w:val="auto"/>
                <w:lang w:val="en-US" w:eastAsia="zh-CN"/>
              </w:rPr>
            </w:pPr>
            <w:r>
              <w:rPr>
                <w:rFonts w:hint="eastAsia" w:ascii="宋体" w:hAnsi="宋体" w:cs="宋体"/>
                <w:color w:val="auto"/>
                <w:lang w:val="en-US" w:eastAsia="zh-CN"/>
              </w:rPr>
              <w:t>配件与原设备兼容性</w:t>
            </w:r>
          </w:p>
        </w:tc>
        <w:tc>
          <w:tcPr>
            <w:tcW w:w="5926" w:type="dxa"/>
            <w:vAlign w:val="center"/>
          </w:tcPr>
          <w:p w14:paraId="04A83867">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color w:val="auto"/>
                <w:lang w:eastAsia="zh-CN"/>
              </w:rPr>
            </w:pPr>
            <w:r>
              <w:rPr>
                <w:rFonts w:hint="eastAsia" w:ascii="宋体" w:hAnsi="宋体"/>
                <w:color w:val="auto"/>
                <w:lang w:eastAsia="zh-CN"/>
              </w:rPr>
              <w:t>▲为确保本次配件能与原设备兼容性，提供兼容性承诺函并加盖厂商章。</w:t>
            </w:r>
          </w:p>
        </w:tc>
      </w:tr>
      <w:tr w14:paraId="6B29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1" w:type="dxa"/>
            <w:vAlign w:val="center"/>
          </w:tcPr>
          <w:p w14:paraId="4FF1A0C5">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9</w:t>
            </w:r>
          </w:p>
        </w:tc>
        <w:tc>
          <w:tcPr>
            <w:tcW w:w="1755" w:type="dxa"/>
            <w:vAlign w:val="center"/>
          </w:tcPr>
          <w:p w14:paraId="03B1924B">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color w:val="auto"/>
                <w:lang w:eastAsia="zh-CN"/>
              </w:rPr>
              <w:t>▲</w:t>
            </w:r>
            <w:r>
              <w:rPr>
                <w:rFonts w:hint="eastAsia" w:ascii="宋体" w:hAnsi="宋体" w:cs="宋体"/>
                <w:bCs/>
                <w:color w:val="auto"/>
                <w:sz w:val="21"/>
                <w:szCs w:val="21"/>
                <w:lang w:eastAsia="zh-CN"/>
              </w:rPr>
              <w:t>兼容性证明材料（至少满足其一）</w:t>
            </w:r>
          </w:p>
        </w:tc>
        <w:tc>
          <w:tcPr>
            <w:tcW w:w="5926" w:type="dxa"/>
            <w:vAlign w:val="center"/>
          </w:tcPr>
          <w:p w14:paraId="4E45E9DD">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cs="宋体"/>
                <w:bCs/>
                <w:color w:val="auto"/>
                <w:sz w:val="21"/>
                <w:szCs w:val="21"/>
                <w:lang w:eastAsia="zh-CN"/>
              </w:rPr>
              <w:t>①</w:t>
            </w:r>
            <w:r>
              <w:rPr>
                <w:rFonts w:hint="eastAsia" w:ascii="宋体" w:hAnsi="宋体" w:cs="宋体"/>
                <w:bCs/>
                <w:color w:val="auto"/>
                <w:sz w:val="21"/>
                <w:szCs w:val="21"/>
                <w:lang w:val="en-US" w:eastAsia="zh-CN"/>
              </w:rPr>
              <w:t>需</w:t>
            </w:r>
            <w:r>
              <w:rPr>
                <w:rFonts w:hint="eastAsia" w:ascii="宋体" w:hAnsi="宋体" w:eastAsia="宋体" w:cs="宋体"/>
                <w:color w:val="auto"/>
              </w:rPr>
              <w:t>与采购人现有 5 节点</w:t>
            </w:r>
            <w:r>
              <w:rPr>
                <w:rFonts w:hint="eastAsia" w:hAnsi="宋体" w:cs="宋体"/>
                <w:color w:val="auto"/>
                <w:sz w:val="21"/>
                <w:szCs w:val="21"/>
                <w:lang w:eastAsia="zh-CN" w:bidi="ar"/>
              </w:rPr>
              <w:t>超融合同品牌</w:t>
            </w:r>
          </w:p>
          <w:p w14:paraId="423DD7A4">
            <w:pPr>
              <w:pStyle w:val="107"/>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color w:val="auto"/>
              </w:rPr>
            </w:pPr>
            <w:r>
              <w:rPr>
                <w:rFonts w:hint="eastAsia" w:ascii="宋体" w:hAnsi="宋体" w:cs="宋体"/>
                <w:bCs/>
                <w:color w:val="auto"/>
                <w:sz w:val="21"/>
                <w:szCs w:val="21"/>
                <w:lang w:eastAsia="zh-CN"/>
              </w:rPr>
              <w:t>②</w:t>
            </w:r>
            <w:r>
              <w:rPr>
                <w:color w:val="auto"/>
                <w:sz w:val="21"/>
                <w:szCs w:val="21"/>
                <w:lang w:eastAsia="zh-CN"/>
              </w:rPr>
              <w:t>完全兼容</w:t>
            </w:r>
            <w:r>
              <w:rPr>
                <w:rFonts w:hint="eastAsia"/>
                <w:color w:val="auto"/>
                <w:sz w:val="21"/>
                <w:szCs w:val="21"/>
                <w:lang w:eastAsia="zh-CN"/>
              </w:rPr>
              <w:t>现有</w:t>
            </w:r>
            <w:r>
              <w:rPr>
                <w:rFonts w:hint="eastAsia" w:hAnsi="宋体" w:cs="宋体"/>
                <w:color w:val="auto"/>
                <w:sz w:val="21"/>
                <w:szCs w:val="21"/>
                <w:lang w:eastAsia="zh-CN" w:bidi="ar"/>
              </w:rPr>
              <w:t>超融合</w:t>
            </w:r>
            <w:r>
              <w:rPr>
                <w:rFonts w:hint="eastAsia"/>
                <w:color w:val="auto"/>
                <w:sz w:val="21"/>
                <w:szCs w:val="21"/>
                <w:lang w:val="en-US" w:eastAsia="zh-CN"/>
              </w:rPr>
              <w:t>硬盘</w:t>
            </w:r>
            <w:r>
              <w:rPr>
                <w:color w:val="auto"/>
                <w:sz w:val="21"/>
                <w:szCs w:val="21"/>
                <w:lang w:eastAsia="zh-CN"/>
              </w:rPr>
              <w:t>插槽及平台</w:t>
            </w:r>
            <w:r>
              <w:rPr>
                <w:rFonts w:hint="eastAsia"/>
                <w:color w:val="auto"/>
                <w:sz w:val="21"/>
                <w:szCs w:val="21"/>
                <w:lang w:eastAsia="zh-CN"/>
              </w:rPr>
              <w:t>，</w:t>
            </w:r>
            <w:r>
              <w:rPr>
                <w:rFonts w:hint="eastAsia" w:ascii="宋体" w:hAnsi="宋体" w:eastAsia="宋体" w:cs="宋体"/>
                <w:color w:val="auto"/>
              </w:rPr>
              <w:t>可正常识别并纳入分布式存储资源池</w:t>
            </w:r>
            <w:r>
              <w:rPr>
                <w:rFonts w:hint="eastAsia" w:ascii="宋体" w:hAnsi="宋体" w:cs="宋体"/>
                <w:color w:val="auto"/>
                <w:lang w:eastAsia="zh-CN"/>
              </w:rPr>
              <w:t>，</w:t>
            </w:r>
            <w:r>
              <w:rPr>
                <w:color w:val="auto"/>
                <w:highlight w:val="none"/>
                <w:lang w:eastAsia="zh-CN"/>
              </w:rPr>
              <w:t>提供原厂针对本项目的</w:t>
            </w:r>
            <w:r>
              <w:rPr>
                <w:rFonts w:hint="eastAsia"/>
                <w:color w:val="auto"/>
                <w:highlight w:val="none"/>
                <w:lang w:val="en-US" w:eastAsia="zh-CN"/>
              </w:rPr>
              <w:t>兼容性承诺</w:t>
            </w:r>
            <w:r>
              <w:rPr>
                <w:color w:val="auto"/>
                <w:highlight w:val="none"/>
                <w:lang w:eastAsia="zh-CN"/>
              </w:rPr>
              <w:t>函</w:t>
            </w:r>
            <w:r>
              <w:rPr>
                <w:rFonts w:hint="eastAsia"/>
                <w:color w:val="auto"/>
                <w:highlight w:val="none"/>
                <w:lang w:eastAsia="zh-CN"/>
              </w:rPr>
              <w:t>，并加盖原厂公章。</w:t>
            </w:r>
          </w:p>
        </w:tc>
      </w:tr>
    </w:tbl>
    <w:p w14:paraId="2BB9F250">
      <w:pPr>
        <w:pStyle w:val="90"/>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val="0"/>
          <w:color w:val="auto"/>
          <w:sz w:val="21"/>
          <w:szCs w:val="21"/>
          <w:highlight w:val="none"/>
          <w:lang w:val="en-US" w:eastAsia="zh-CN"/>
        </w:rPr>
      </w:pPr>
    </w:p>
    <w:p w14:paraId="2CC7E2ED">
      <w:pPr>
        <w:pStyle w:val="90"/>
        <w:keepNext w:val="0"/>
        <w:keepLines w:val="0"/>
        <w:pageBreakBefore w:val="0"/>
        <w:numPr>
          <w:ilvl w:val="0"/>
          <w:numId w:val="6"/>
        </w:numPr>
        <w:kinsoku/>
        <w:wordWrap/>
        <w:overflowPunct/>
        <w:topLinePunct w:val="0"/>
        <w:autoSpaceDE/>
        <w:autoSpaceDN/>
        <w:bidi w:val="0"/>
        <w:adjustRightInd/>
        <w:snapToGrid/>
        <w:spacing w:line="360" w:lineRule="auto"/>
        <w:ind w:left="0" w:leftChars="0" w:firstLine="422" w:firstLineChars="200"/>
        <w:jc w:val="left"/>
        <w:textAlignment w:val="auto"/>
        <w:rPr>
          <w:rFonts w:hint="default" w:asciiTheme="minorEastAsia" w:hAnsiTheme="minorEastAsia" w:eastAsiaTheme="minorEastAsia" w:cstheme="minorEastAsia"/>
          <w:b/>
          <w:bCs/>
          <w:color w:val="auto"/>
          <w:sz w:val="21"/>
          <w:szCs w:val="21"/>
          <w:highlight w:val="none"/>
          <w:lang w:val="en-US" w:eastAsia="zh-CN"/>
        </w:rPr>
      </w:pPr>
      <w:r>
        <w:rPr>
          <w:rFonts w:hint="default" w:asciiTheme="minorEastAsia" w:hAnsiTheme="minorEastAsia" w:eastAsiaTheme="minorEastAsia" w:cstheme="minorEastAsia"/>
          <w:b/>
          <w:bCs/>
          <w:color w:val="auto"/>
          <w:sz w:val="21"/>
          <w:szCs w:val="21"/>
          <w:highlight w:val="none"/>
          <w:lang w:val="en-US" w:eastAsia="zh-CN"/>
        </w:rPr>
        <w:t>技术服务</w:t>
      </w:r>
    </w:p>
    <w:tbl>
      <w:tblPr>
        <w:tblStyle w:val="44"/>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740"/>
        <w:gridCol w:w="5978"/>
      </w:tblGrid>
      <w:tr w14:paraId="3EAE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29" w:type="dxa"/>
            <w:vAlign w:val="center"/>
          </w:tcPr>
          <w:p w14:paraId="706D6F58">
            <w:pPr>
              <w:pStyle w:val="107"/>
              <w:snapToGrid w:val="0"/>
              <w:spacing w:line="240" w:lineRule="auto"/>
              <w:ind w:left="0" w:leftChars="0" w:right="0" w:rightChars="0" w:firstLine="0" w:firstLineChars="0"/>
              <w:jc w:val="center"/>
              <w:rPr>
                <w:rFonts w:hint="eastAsia" w:ascii="宋体" w:hAnsi="宋体" w:eastAsia="宋体" w:cs="宋体"/>
                <w:b/>
                <w:color w:val="auto"/>
              </w:rPr>
            </w:pPr>
            <w:r>
              <w:rPr>
                <w:rFonts w:hint="eastAsia" w:ascii="宋体" w:hAnsi="宋体" w:eastAsia="宋体" w:cs="宋体"/>
                <w:b/>
                <w:color w:val="auto"/>
              </w:rPr>
              <w:t>序号</w:t>
            </w:r>
          </w:p>
        </w:tc>
        <w:tc>
          <w:tcPr>
            <w:tcW w:w="1740" w:type="dxa"/>
            <w:vAlign w:val="center"/>
          </w:tcPr>
          <w:p w14:paraId="31557802">
            <w:pPr>
              <w:pStyle w:val="107"/>
              <w:snapToGrid w:val="0"/>
              <w:spacing w:line="240" w:lineRule="auto"/>
              <w:ind w:left="0" w:leftChars="0" w:right="0" w:rightChars="0" w:firstLine="0" w:firstLineChars="0"/>
              <w:jc w:val="center"/>
              <w:rPr>
                <w:rFonts w:hint="eastAsia" w:ascii="宋体" w:hAnsi="宋体" w:eastAsia="宋体" w:cs="宋体"/>
                <w:b/>
                <w:color w:val="auto"/>
              </w:rPr>
            </w:pPr>
            <w:r>
              <w:rPr>
                <w:rFonts w:hint="eastAsia" w:ascii="宋体" w:hAnsi="宋体" w:eastAsia="宋体" w:cs="宋体"/>
                <w:b/>
                <w:color w:val="auto"/>
              </w:rPr>
              <w:t>指标项</w:t>
            </w:r>
          </w:p>
        </w:tc>
        <w:tc>
          <w:tcPr>
            <w:tcW w:w="5978" w:type="dxa"/>
            <w:vAlign w:val="center"/>
          </w:tcPr>
          <w:p w14:paraId="36E9B414">
            <w:pPr>
              <w:pStyle w:val="107"/>
              <w:snapToGrid w:val="0"/>
              <w:spacing w:line="240" w:lineRule="auto"/>
              <w:ind w:left="0" w:leftChars="0" w:right="0" w:rightChars="0" w:firstLine="0" w:firstLineChars="0"/>
              <w:jc w:val="center"/>
              <w:rPr>
                <w:rFonts w:hint="eastAsia" w:ascii="宋体" w:hAnsi="宋体" w:eastAsia="宋体" w:cs="宋体"/>
                <w:b/>
                <w:color w:val="auto"/>
              </w:rPr>
            </w:pPr>
            <w:r>
              <w:rPr>
                <w:rFonts w:hint="eastAsia" w:ascii="宋体" w:hAnsi="宋体" w:eastAsia="宋体" w:cs="宋体"/>
                <w:b/>
                <w:color w:val="auto"/>
              </w:rPr>
              <w:t>技术规格要求</w:t>
            </w:r>
          </w:p>
        </w:tc>
      </w:tr>
      <w:tr w14:paraId="1B55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29" w:type="dxa"/>
            <w:vAlign w:val="center"/>
          </w:tcPr>
          <w:p w14:paraId="39B95108">
            <w:pPr>
              <w:pStyle w:val="107"/>
              <w:snapToGrid w:val="0"/>
              <w:spacing w:line="240" w:lineRule="auto"/>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rPr>
              <w:t>1</w:t>
            </w:r>
          </w:p>
        </w:tc>
        <w:tc>
          <w:tcPr>
            <w:tcW w:w="1740" w:type="dxa"/>
            <w:vAlign w:val="center"/>
          </w:tcPr>
          <w:p w14:paraId="1566600C">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硬盘安装</w:t>
            </w:r>
          </w:p>
        </w:tc>
        <w:tc>
          <w:tcPr>
            <w:tcW w:w="5978" w:type="dxa"/>
            <w:vAlign w:val="center"/>
          </w:tcPr>
          <w:p w14:paraId="137F726C">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完成 5 块 NVMe SSD 的安装与上架，安装后节点可正常识别硬盘</w:t>
            </w:r>
          </w:p>
        </w:tc>
      </w:tr>
      <w:tr w14:paraId="112D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9" w:type="dxa"/>
            <w:vAlign w:val="center"/>
          </w:tcPr>
          <w:p w14:paraId="31785EC8">
            <w:pPr>
              <w:pStyle w:val="107"/>
              <w:snapToGrid w:val="0"/>
              <w:spacing w:line="240" w:lineRule="auto"/>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rPr>
              <w:t>2</w:t>
            </w:r>
          </w:p>
        </w:tc>
        <w:tc>
          <w:tcPr>
            <w:tcW w:w="1740" w:type="dxa"/>
            <w:vAlign w:val="center"/>
          </w:tcPr>
          <w:p w14:paraId="71D8FD10">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分布式存储授权配置与初始化</w:t>
            </w:r>
          </w:p>
        </w:tc>
        <w:tc>
          <w:tcPr>
            <w:tcW w:w="5978" w:type="dxa"/>
            <w:vAlign w:val="center"/>
          </w:tcPr>
          <w:p w14:paraId="2C7149EC">
            <w:pPr>
              <w:pStyle w:val="107"/>
              <w:snapToGrid w:val="0"/>
              <w:spacing w:line="240" w:lineRule="auto"/>
              <w:ind w:left="0" w:leftChars="0" w:right="0" w:rightChars="0" w:firstLine="0" w:firstLineChars="0"/>
              <w:jc w:val="left"/>
              <w:rPr>
                <w:rFonts w:hint="eastAsia" w:ascii="宋体" w:hAnsi="宋体" w:eastAsia="宋体" w:cs="宋体"/>
                <w:color w:val="auto"/>
                <w:lang w:eastAsia="zh-CN"/>
              </w:rPr>
            </w:pPr>
            <w:r>
              <w:rPr>
                <w:rFonts w:hint="eastAsia" w:ascii="宋体" w:hAnsi="宋体" w:eastAsia="宋体" w:cs="宋体"/>
                <w:color w:val="auto"/>
              </w:rPr>
              <w:t>★完成超融合分布式存储授权配置与系统初始化</w:t>
            </w:r>
            <w:r>
              <w:rPr>
                <w:rFonts w:hint="eastAsia" w:ascii="宋体" w:hAnsi="宋体" w:cs="宋体"/>
                <w:color w:val="auto"/>
                <w:lang w:eastAsia="zh-CN"/>
              </w:rPr>
              <w:t>，</w:t>
            </w:r>
            <w:r>
              <w:rPr>
                <w:rFonts w:hint="eastAsia" w:ascii="宋体" w:hAnsi="宋体" w:cs="宋体"/>
                <w:color w:val="auto"/>
                <w:lang w:val="en-US" w:eastAsia="zh-CN"/>
              </w:rPr>
              <w:t>提供承诺函</w:t>
            </w:r>
          </w:p>
        </w:tc>
      </w:tr>
      <w:tr w14:paraId="3C78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9" w:type="dxa"/>
            <w:vAlign w:val="center"/>
          </w:tcPr>
          <w:p w14:paraId="1F6C4A53">
            <w:pPr>
              <w:pStyle w:val="107"/>
              <w:snapToGrid w:val="0"/>
              <w:spacing w:line="240" w:lineRule="auto"/>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rPr>
              <w:t>3</w:t>
            </w:r>
          </w:p>
        </w:tc>
        <w:tc>
          <w:tcPr>
            <w:tcW w:w="1740" w:type="dxa"/>
            <w:vAlign w:val="center"/>
          </w:tcPr>
          <w:p w14:paraId="186C02C9">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重新初始化与副本数配置</w:t>
            </w:r>
          </w:p>
        </w:tc>
        <w:tc>
          <w:tcPr>
            <w:tcW w:w="5978" w:type="dxa"/>
            <w:vAlign w:val="center"/>
          </w:tcPr>
          <w:p w14:paraId="02B38814">
            <w:pPr>
              <w:pStyle w:val="107"/>
              <w:snapToGrid w:val="0"/>
              <w:spacing w:line="240" w:lineRule="auto"/>
              <w:ind w:left="0" w:leftChars="0" w:right="0" w:rightChars="0" w:firstLine="0" w:firstLineChars="0"/>
              <w:jc w:val="left"/>
              <w:rPr>
                <w:rFonts w:hint="eastAsia" w:ascii="宋体" w:hAnsi="宋体" w:eastAsia="宋体" w:cs="宋体"/>
                <w:color w:val="auto"/>
                <w:lang w:eastAsia="zh-CN"/>
              </w:rPr>
            </w:pPr>
            <w:r>
              <w:rPr>
                <w:rFonts w:hint="eastAsia" w:ascii="宋体" w:hAnsi="宋体" w:eastAsia="宋体" w:cs="宋体"/>
                <w:color w:val="auto"/>
              </w:rPr>
              <w:t>★完成分布式存储重新初始化，并重新配置副本数策略</w:t>
            </w:r>
            <w:r>
              <w:rPr>
                <w:rFonts w:hint="eastAsia" w:ascii="宋体" w:hAnsi="宋体" w:cs="宋体"/>
                <w:color w:val="auto"/>
                <w:lang w:eastAsia="zh-CN"/>
              </w:rPr>
              <w:t>，</w:t>
            </w:r>
            <w:r>
              <w:rPr>
                <w:rFonts w:hint="eastAsia" w:ascii="宋体" w:hAnsi="宋体" w:cs="宋体"/>
                <w:color w:val="auto"/>
                <w:lang w:val="en-US" w:eastAsia="zh-CN"/>
              </w:rPr>
              <w:t>提供承诺函</w:t>
            </w:r>
          </w:p>
        </w:tc>
      </w:tr>
      <w:tr w14:paraId="04F3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9" w:type="dxa"/>
            <w:vAlign w:val="center"/>
          </w:tcPr>
          <w:p w14:paraId="670E380A">
            <w:pPr>
              <w:pStyle w:val="107"/>
              <w:snapToGrid w:val="0"/>
              <w:spacing w:line="240" w:lineRule="auto"/>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rPr>
              <w:t>4</w:t>
            </w:r>
          </w:p>
        </w:tc>
        <w:tc>
          <w:tcPr>
            <w:tcW w:w="1740" w:type="dxa"/>
            <w:vAlign w:val="center"/>
          </w:tcPr>
          <w:p w14:paraId="2788CD1F">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原厂服务</w:t>
            </w:r>
          </w:p>
        </w:tc>
        <w:tc>
          <w:tcPr>
            <w:tcW w:w="5978" w:type="dxa"/>
            <w:vAlign w:val="center"/>
          </w:tcPr>
          <w:p w14:paraId="4631F0E8">
            <w:pPr>
              <w:pStyle w:val="107"/>
              <w:snapToGrid w:val="0"/>
              <w:spacing w:line="240" w:lineRule="auto"/>
              <w:ind w:left="0" w:leftChars="0" w:right="0" w:rightChars="0" w:firstLine="0" w:firstLineChars="0"/>
              <w:jc w:val="left"/>
              <w:rPr>
                <w:rFonts w:hint="default" w:ascii="宋体" w:hAnsi="宋体" w:eastAsia="宋体" w:cs="宋体"/>
                <w:color w:val="auto"/>
                <w:lang w:val="en-US" w:eastAsia="zh-CN"/>
              </w:rPr>
            </w:pPr>
            <w:r>
              <w:rPr>
                <w:rFonts w:hint="eastAsia" w:ascii="宋体" w:hAnsi="宋体" w:eastAsia="宋体" w:cs="宋体"/>
                <w:color w:val="auto"/>
              </w:rPr>
              <w:t>★</w:t>
            </w:r>
            <w:r>
              <w:rPr>
                <w:rFonts w:hint="eastAsia" w:ascii="宋体" w:hAnsi="宋体" w:cs="宋体"/>
                <w:color w:val="auto"/>
                <w:lang w:val="en-US" w:eastAsia="zh-CN"/>
              </w:rPr>
              <w:t>为了保障我院核心系统的稳定性，</w:t>
            </w:r>
            <w:r>
              <w:rPr>
                <w:rFonts w:hint="eastAsia" w:ascii="宋体" w:hAnsi="宋体" w:eastAsia="宋体" w:cs="宋体"/>
                <w:color w:val="auto"/>
              </w:rPr>
              <w:t>以上实施服务须由</w:t>
            </w:r>
            <w:r>
              <w:rPr>
                <w:rFonts w:hint="eastAsia" w:ascii="宋体" w:hAnsi="宋体" w:cs="宋体"/>
                <w:color w:val="auto"/>
                <w:lang w:val="en-US" w:eastAsia="zh-CN"/>
              </w:rPr>
              <w:t>原超融合设备</w:t>
            </w:r>
            <w:r>
              <w:rPr>
                <w:rFonts w:hint="eastAsia" w:ascii="宋体" w:hAnsi="宋体" w:eastAsia="宋体" w:cs="宋体"/>
                <w:color w:val="auto"/>
              </w:rPr>
              <w:t>原厂工程师提供并现场实施，不接受第三方转包或代理实施</w:t>
            </w:r>
            <w:r>
              <w:rPr>
                <w:rFonts w:hint="eastAsia" w:ascii="宋体" w:hAnsi="宋体" w:cs="宋体"/>
                <w:color w:val="auto"/>
                <w:lang w:eastAsia="zh-CN"/>
              </w:rPr>
              <w:t>，</w:t>
            </w:r>
            <w:r>
              <w:rPr>
                <w:rFonts w:hint="eastAsia" w:ascii="宋体" w:hAnsi="宋体" w:cs="宋体"/>
                <w:color w:val="auto"/>
                <w:lang w:val="en-US" w:eastAsia="zh-CN"/>
              </w:rPr>
              <w:t>提供承诺函</w:t>
            </w:r>
          </w:p>
        </w:tc>
      </w:tr>
      <w:tr w14:paraId="2124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9" w:type="dxa"/>
            <w:vAlign w:val="center"/>
          </w:tcPr>
          <w:p w14:paraId="1A39D5C9">
            <w:pPr>
              <w:pStyle w:val="107"/>
              <w:snapToGrid w:val="0"/>
              <w:spacing w:line="240" w:lineRule="auto"/>
              <w:ind w:left="0" w:leftChars="0" w:right="0" w:rightChars="0" w:firstLine="0" w:firstLineChars="0"/>
              <w:jc w:val="center"/>
              <w:rPr>
                <w:rFonts w:hint="eastAsia" w:ascii="宋体" w:hAnsi="宋体" w:eastAsia="宋体" w:cs="宋体"/>
                <w:color w:val="auto"/>
              </w:rPr>
            </w:pPr>
            <w:r>
              <w:rPr>
                <w:rFonts w:hint="eastAsia" w:ascii="宋体" w:hAnsi="宋体" w:eastAsia="宋体" w:cs="宋体"/>
                <w:color w:val="auto"/>
              </w:rPr>
              <w:t>5</w:t>
            </w:r>
          </w:p>
        </w:tc>
        <w:tc>
          <w:tcPr>
            <w:tcW w:w="1740" w:type="dxa"/>
            <w:vAlign w:val="center"/>
          </w:tcPr>
          <w:p w14:paraId="37CB50A5">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验证测试</w:t>
            </w:r>
          </w:p>
        </w:tc>
        <w:tc>
          <w:tcPr>
            <w:tcW w:w="5978" w:type="dxa"/>
            <w:vAlign w:val="center"/>
          </w:tcPr>
          <w:p w14:paraId="0DE18E81">
            <w:pPr>
              <w:pStyle w:val="107"/>
              <w:snapToGrid w:val="0"/>
              <w:spacing w:line="240" w:lineRule="auto"/>
              <w:ind w:left="0" w:leftChars="0" w:right="0" w:rightChars="0" w:firstLine="0" w:firstLineChars="0"/>
              <w:jc w:val="left"/>
              <w:rPr>
                <w:rFonts w:hint="eastAsia" w:ascii="宋体" w:hAnsi="宋体" w:eastAsia="宋体" w:cs="宋体"/>
                <w:color w:val="auto"/>
              </w:rPr>
            </w:pPr>
            <w:r>
              <w:rPr>
                <w:rFonts w:hint="eastAsia" w:ascii="宋体" w:hAnsi="宋体" w:eastAsia="宋体" w:cs="宋体"/>
                <w:color w:val="auto"/>
              </w:rPr>
              <w:t>提供功能与性能验证测试报告，确认扩容容量已纳入分布式存储资源池并可用</w:t>
            </w:r>
          </w:p>
        </w:tc>
      </w:tr>
    </w:tbl>
    <w:p w14:paraId="48AAB8AB">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val="0"/>
          <w:color w:val="auto"/>
          <w:sz w:val="21"/>
          <w:szCs w:val="21"/>
          <w:highlight w:val="none"/>
          <w:lang w:val="en-US" w:eastAsia="zh-CN"/>
        </w:rPr>
      </w:pPr>
    </w:p>
    <w:p w14:paraId="232863BF">
      <w:pPr>
        <w:pStyle w:val="90"/>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评标方法及标准</w:t>
      </w:r>
    </w:p>
    <w:p w14:paraId="7047E1F8">
      <w:pPr>
        <w:pStyle w:val="90"/>
        <w:keepNext w:val="0"/>
        <w:keepLines w:val="0"/>
        <w:pageBreakBefore w:val="0"/>
        <w:widowControl/>
        <w:numPr>
          <w:ilvl w:val="0"/>
          <w:numId w:val="0"/>
        </w:numPr>
        <w:kinsoku/>
        <w:wordWrap/>
        <w:overflowPunct/>
        <w:topLinePunct w:val="0"/>
        <w:autoSpaceDE/>
        <w:autoSpaceDN/>
        <w:bidi w:val="0"/>
        <w:adjustRightInd/>
        <w:snapToGrid/>
        <w:ind w:leftChars="0" w:firstLine="422" w:firstLineChars="200"/>
        <w:jc w:val="both"/>
        <w:textAlignment w:val="auto"/>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1.</w:t>
      </w:r>
      <w:r>
        <w:rPr>
          <w:rFonts w:hint="default" w:ascii="宋体" w:hAnsi="宋体" w:eastAsia="宋体" w:cs="宋体"/>
          <w:b/>
          <w:bCs w:val="0"/>
          <w:sz w:val="21"/>
          <w:szCs w:val="21"/>
          <w:lang w:val="en-US" w:eastAsia="zh-CN"/>
        </w:rPr>
        <w:t>资格审查</w:t>
      </w:r>
    </w:p>
    <w:p w14:paraId="5441D32C">
      <w:pPr>
        <w:pStyle w:val="90"/>
        <w:keepNext w:val="0"/>
        <w:keepLines w:val="0"/>
        <w:pageBreakBefore w:val="0"/>
        <w:widowControl/>
        <w:numPr>
          <w:ilvl w:val="0"/>
          <w:numId w:val="0"/>
        </w:numPr>
        <w:kinsoku/>
        <w:wordWrap/>
        <w:overflowPunct/>
        <w:topLinePunct w:val="0"/>
        <w:autoSpaceDE/>
        <w:autoSpaceDN/>
        <w:bidi w:val="0"/>
        <w:adjustRightInd/>
        <w:snapToGrid/>
        <w:ind w:leftChars="0"/>
        <w:jc w:val="both"/>
        <w:textAlignment w:val="auto"/>
        <w:rPr>
          <w:rFonts w:hint="eastAsia" w:ascii="宋体" w:hAnsi="宋体" w:eastAsia="宋体" w:cs="宋体"/>
          <w:sz w:val="28"/>
          <w:szCs w:val="28"/>
        </w:rPr>
      </w:pPr>
      <w:r>
        <w:rPr>
          <w:rFonts w:hint="default" w:ascii="宋体" w:hAnsi="宋体" w:eastAsia="宋体" w:cs="宋体"/>
          <w:b w:val="0"/>
          <w:bCs/>
          <w:sz w:val="21"/>
          <w:szCs w:val="21"/>
          <w:lang w:val="en-US" w:eastAsia="zh-CN"/>
        </w:rPr>
        <w:t>评委将根据响应供应商提供的响应文件进行资格性审查，审查项目包括：</w:t>
      </w:r>
    </w:p>
    <w:tbl>
      <w:tblPr>
        <w:tblStyle w:val="44"/>
        <w:tblW w:w="85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6"/>
        <w:gridCol w:w="7016"/>
      </w:tblGrid>
      <w:tr w14:paraId="05C47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526" w:type="dxa"/>
            <w:tcBorders>
              <w:top w:val="single" w:color="000000" w:sz="4" w:space="0"/>
              <w:left w:val="single" w:color="000000" w:sz="4" w:space="0"/>
              <w:bottom w:val="single" w:color="000000" w:sz="4" w:space="0"/>
              <w:right w:val="single" w:color="000000" w:sz="4" w:space="0"/>
            </w:tcBorders>
            <w:noWrap w:val="0"/>
            <w:vAlign w:val="center"/>
          </w:tcPr>
          <w:p w14:paraId="36FDA1A9">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检查内容</w:t>
            </w:r>
          </w:p>
        </w:tc>
        <w:tc>
          <w:tcPr>
            <w:tcW w:w="7016" w:type="dxa"/>
            <w:tcBorders>
              <w:top w:val="single" w:color="000000" w:sz="4" w:space="0"/>
              <w:left w:val="single" w:color="000000" w:sz="4" w:space="0"/>
              <w:bottom w:val="single" w:color="000000" w:sz="4" w:space="0"/>
              <w:right w:val="single" w:color="000000" w:sz="4" w:space="0"/>
            </w:tcBorders>
            <w:noWrap w:val="0"/>
            <w:vAlign w:val="center"/>
          </w:tcPr>
          <w:p w14:paraId="64B9E6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检查内容</w:t>
            </w:r>
          </w:p>
        </w:tc>
      </w:tr>
      <w:tr w14:paraId="7F361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526" w:type="dxa"/>
            <w:tcBorders>
              <w:top w:val="single" w:color="000000" w:sz="4" w:space="0"/>
              <w:left w:val="single" w:color="000000" w:sz="4" w:space="0"/>
              <w:bottom w:val="single" w:color="000000" w:sz="4" w:space="0"/>
              <w:right w:val="single" w:color="000000" w:sz="4" w:space="0"/>
            </w:tcBorders>
            <w:noWrap w:val="0"/>
            <w:vAlign w:val="center"/>
          </w:tcPr>
          <w:p w14:paraId="79FF4B4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具有独立承担民事责任的能力</w:t>
            </w:r>
          </w:p>
        </w:tc>
        <w:tc>
          <w:tcPr>
            <w:tcW w:w="7016" w:type="dxa"/>
            <w:tcBorders>
              <w:top w:val="single" w:color="000000" w:sz="4" w:space="0"/>
              <w:left w:val="single" w:color="000000" w:sz="4" w:space="0"/>
              <w:bottom w:val="single" w:color="000000" w:sz="4" w:space="0"/>
              <w:right w:val="single" w:color="000000" w:sz="4" w:space="0"/>
            </w:tcBorders>
            <w:noWrap w:val="0"/>
            <w:vAlign w:val="center"/>
          </w:tcPr>
          <w:p w14:paraId="53D20A6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响应供应商法人营业执照（副本）或事业单位法人证书（副本）或个体工商户营业执照或有效的自然人身份证明或社会团体法人登记证书（提供复印件并加盖公章）。</w:t>
            </w:r>
          </w:p>
        </w:tc>
      </w:tr>
      <w:tr w14:paraId="2B63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526" w:type="dxa"/>
            <w:tcBorders>
              <w:top w:val="single" w:color="000000" w:sz="4" w:space="0"/>
              <w:left w:val="single" w:color="000000" w:sz="4" w:space="0"/>
              <w:bottom w:val="single" w:color="000000" w:sz="4" w:space="0"/>
              <w:right w:val="single" w:color="000000" w:sz="4" w:space="0"/>
            </w:tcBorders>
            <w:noWrap w:val="0"/>
            <w:vAlign w:val="center"/>
          </w:tcPr>
          <w:p w14:paraId="3A7DFCC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具有良好的商业信誉和健全的财务会计制度</w:t>
            </w:r>
          </w:p>
        </w:tc>
        <w:tc>
          <w:tcPr>
            <w:tcW w:w="7016" w:type="dxa"/>
            <w:tcBorders>
              <w:top w:val="single" w:color="000000" w:sz="4" w:space="0"/>
              <w:left w:val="single" w:color="000000" w:sz="4" w:space="0"/>
              <w:bottom w:val="single" w:color="000000" w:sz="4" w:space="0"/>
              <w:right w:val="single" w:color="000000" w:sz="4" w:space="0"/>
            </w:tcBorders>
            <w:noWrap w:val="0"/>
            <w:vAlign w:val="center"/>
          </w:tcPr>
          <w:p w14:paraId="30CD3E9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提供2025度任意一个月的财务报告（提供复印件并加盖公章）。</w:t>
            </w:r>
          </w:p>
        </w:tc>
      </w:tr>
      <w:tr w14:paraId="43E3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526" w:type="dxa"/>
            <w:tcBorders>
              <w:top w:val="single" w:color="000000" w:sz="4" w:space="0"/>
              <w:left w:val="single" w:color="000000" w:sz="4" w:space="0"/>
              <w:bottom w:val="single" w:color="000000" w:sz="4" w:space="0"/>
              <w:right w:val="single" w:color="000000" w:sz="4" w:space="0"/>
            </w:tcBorders>
            <w:noWrap w:val="0"/>
            <w:vAlign w:val="center"/>
          </w:tcPr>
          <w:p w14:paraId="23698D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响应文件签署或盖章</w:t>
            </w:r>
          </w:p>
        </w:tc>
        <w:tc>
          <w:tcPr>
            <w:tcW w:w="7016" w:type="dxa"/>
            <w:tcBorders>
              <w:top w:val="single" w:color="000000" w:sz="4" w:space="0"/>
              <w:left w:val="single" w:color="000000" w:sz="4" w:space="0"/>
              <w:bottom w:val="single" w:color="000000" w:sz="4" w:space="0"/>
              <w:right w:val="single" w:color="000000" w:sz="4" w:space="0"/>
            </w:tcBorders>
            <w:noWrap w:val="0"/>
            <w:vAlign w:val="center"/>
          </w:tcPr>
          <w:p w14:paraId="70B1DA5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响应文件上法定代表人（或其授权代表）或自然人（投标人为自然人）的签署或盖章齐全。</w:t>
            </w:r>
          </w:p>
        </w:tc>
      </w:tr>
      <w:tr w14:paraId="7EF8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1526" w:type="dxa"/>
            <w:tcBorders>
              <w:top w:val="single" w:color="000000" w:sz="4" w:space="0"/>
              <w:left w:val="single" w:color="000000" w:sz="4" w:space="0"/>
              <w:bottom w:val="single" w:color="000000" w:sz="4" w:space="0"/>
              <w:right w:val="single" w:color="000000" w:sz="4" w:space="0"/>
            </w:tcBorders>
            <w:noWrap w:val="0"/>
            <w:vAlign w:val="center"/>
          </w:tcPr>
          <w:p w14:paraId="0B3BD22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参加政府采购活动前三年内，在经营活动中没有重大违法记录</w:t>
            </w:r>
          </w:p>
        </w:tc>
        <w:tc>
          <w:tcPr>
            <w:tcW w:w="7016" w:type="dxa"/>
            <w:tcBorders>
              <w:top w:val="single" w:color="000000" w:sz="4" w:space="0"/>
              <w:left w:val="single" w:color="000000" w:sz="4" w:space="0"/>
              <w:bottom w:val="single" w:color="000000" w:sz="4" w:space="0"/>
              <w:right w:val="single" w:color="000000" w:sz="4" w:space="0"/>
            </w:tcBorders>
            <w:noWrap w:val="0"/>
            <w:vAlign w:val="center"/>
          </w:tcPr>
          <w:p w14:paraId="03E11F0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响应供应商提供书面声明。采购人或采购代理机构将通过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E3F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42" w:type="dxa"/>
            <w:gridSpan w:val="2"/>
            <w:tcBorders>
              <w:top w:val="single" w:color="000000" w:sz="4" w:space="0"/>
              <w:left w:val="single" w:color="000000" w:sz="4" w:space="0"/>
              <w:bottom w:val="single" w:color="000000" w:sz="4" w:space="0"/>
              <w:right w:val="single" w:color="000000" w:sz="4" w:space="0"/>
            </w:tcBorders>
            <w:noWrap w:val="0"/>
            <w:vAlign w:val="center"/>
          </w:tcPr>
          <w:p w14:paraId="063A29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结论</w:t>
            </w:r>
          </w:p>
        </w:tc>
      </w:tr>
    </w:tbl>
    <w:p w14:paraId="6C1C4181">
      <w:pPr>
        <w:pStyle w:val="90"/>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sz w:val="21"/>
          <w:szCs w:val="21"/>
        </w:rPr>
      </w:pPr>
    </w:p>
    <w:p w14:paraId="08D785D2">
      <w:pPr>
        <w:pStyle w:val="90"/>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注：</w:t>
      </w:r>
    </w:p>
    <w:p w14:paraId="0045FBB1">
      <w:pPr>
        <w:pStyle w:val="90"/>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（1）</w:t>
      </w:r>
      <w:r>
        <w:rPr>
          <w:rFonts w:hint="eastAsia" w:ascii="宋体" w:hAnsi="宋体" w:eastAsia="宋体" w:cs="宋体"/>
          <w:b w:val="0"/>
          <w:bCs/>
          <w:sz w:val="21"/>
          <w:szCs w:val="21"/>
        </w:rPr>
        <w:t>评审项目合格在相应列中标注“〇”，不合格则在相应列中标注“×”。</w:t>
      </w:r>
    </w:p>
    <w:p w14:paraId="6CDB54E9">
      <w:pPr>
        <w:pStyle w:val="90"/>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评审项目全部合格方可视为通过符合性审查，在“结论”栏中填写“符合”，否则为“不符合”。</w:t>
      </w:r>
    </w:p>
    <w:p w14:paraId="49373E23">
      <w:pPr>
        <w:pStyle w:val="90"/>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sz w:val="21"/>
          <w:szCs w:val="21"/>
          <w:lang w:val="en-US" w:eastAsia="zh-CN"/>
        </w:rPr>
      </w:pPr>
    </w:p>
    <w:p w14:paraId="52DE2F5A">
      <w:pPr>
        <w:pStyle w:val="90"/>
        <w:keepNext w:val="0"/>
        <w:keepLines w:val="0"/>
        <w:pageBreakBefore w:val="0"/>
        <w:widowControl/>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val="0"/>
          <w:sz w:val="21"/>
          <w:szCs w:val="21"/>
        </w:rPr>
      </w:pPr>
      <w:r>
        <w:rPr>
          <w:rFonts w:hint="eastAsia" w:ascii="宋体" w:hAnsi="宋体" w:eastAsia="宋体" w:cs="宋体"/>
          <w:b/>
          <w:bCs w:val="0"/>
          <w:sz w:val="21"/>
          <w:szCs w:val="21"/>
          <w:lang w:val="en-US" w:eastAsia="zh-CN"/>
        </w:rPr>
        <w:t>2.</w:t>
      </w:r>
      <w:r>
        <w:rPr>
          <w:rFonts w:hint="eastAsia" w:ascii="宋体" w:hAnsi="宋体" w:eastAsia="宋体" w:cs="宋体"/>
          <w:b/>
          <w:bCs w:val="0"/>
          <w:sz w:val="21"/>
          <w:szCs w:val="21"/>
        </w:rPr>
        <w:t>综合评分：各部分得分权重分配如下：</w:t>
      </w:r>
    </w:p>
    <w:tbl>
      <w:tblPr>
        <w:tblStyle w:val="44"/>
        <w:tblW w:w="83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4"/>
        <w:gridCol w:w="2490"/>
        <w:gridCol w:w="2295"/>
        <w:gridCol w:w="2259"/>
      </w:tblGrid>
      <w:tr w14:paraId="5603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30E932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评价内容</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3AFED2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商务和技术部分</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594FD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价格部分</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526C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r>
      <w:tr w14:paraId="086D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382AA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分值</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45737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55分</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7A28F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45分</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9E02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100分</w:t>
            </w:r>
          </w:p>
        </w:tc>
      </w:tr>
    </w:tbl>
    <w:p w14:paraId="6600C00F">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  </w:t>
      </w:r>
    </w:p>
    <w:p w14:paraId="1D99281B">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color w:val="auto"/>
          <w:sz w:val="21"/>
          <w:szCs w:val="21"/>
          <w:lang w:val="en-US" w:eastAsia="zh-CN"/>
        </w:rPr>
      </w:pPr>
      <w:r>
        <w:rPr>
          <w:rFonts w:hint="default" w:ascii="宋体" w:hAnsi="宋体" w:eastAsia="宋体" w:cs="宋体"/>
          <w:b w:val="0"/>
          <w:bCs w:val="0"/>
          <w:color w:val="auto"/>
          <w:sz w:val="21"/>
          <w:szCs w:val="21"/>
          <w:lang w:val="en-US" w:eastAsia="zh-CN"/>
        </w:rPr>
        <w:t>每个投标人的综合得分按以下公式计算（每部分得分计算以四舍五入的方式精确到小数点后两位）：</w:t>
      </w:r>
    </w:p>
    <w:p w14:paraId="35F04A96">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default" w:ascii="宋体" w:hAnsi="宋体" w:eastAsia="宋体" w:cs="宋体"/>
          <w:b w:val="0"/>
          <w:bCs w:val="0"/>
          <w:color w:val="auto"/>
          <w:sz w:val="21"/>
          <w:szCs w:val="21"/>
          <w:lang w:val="en-US" w:eastAsia="zh-CN"/>
        </w:rPr>
        <w:t>综合得分＝商务技术得分＋价格得分。</w:t>
      </w:r>
    </w:p>
    <w:p w14:paraId="67F755EE">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r>
        <w:rPr>
          <w:rFonts w:hint="default" w:ascii="宋体" w:hAnsi="宋体" w:eastAsia="宋体" w:cs="宋体"/>
          <w:b w:val="0"/>
          <w:bCs w:val="0"/>
          <w:color w:val="auto"/>
          <w:sz w:val="21"/>
          <w:szCs w:val="21"/>
          <w:lang w:val="en-US" w:eastAsia="zh-CN"/>
        </w:rPr>
        <w:t>按综合得分从高到低依次列出各投标人排名（第一名、第二名…，出现综合总得分并列时，投标总价低的投标人名次靠前；若综合得分和投标总价都相同，按技术得分高的投标人名次靠前；若综合得分、投标总价和技术得分都相同，按商务得分高的投标人名次靠前；若综合得分、投标总价、技术得分和商务得分都相同，由全体评委投票确定名次）。</w:t>
      </w:r>
    </w:p>
    <w:p w14:paraId="7BB70AF9">
      <w:pPr>
        <w:pStyle w:val="90"/>
        <w:keepNext w:val="0"/>
        <w:keepLines w:val="0"/>
        <w:pageBreakBefore w:val="0"/>
        <w:widowControl/>
        <w:numPr>
          <w:ilvl w:val="0"/>
          <w:numId w:val="0"/>
        </w:numPr>
        <w:kinsoku/>
        <w:wordWrap/>
        <w:overflowPunct/>
        <w:topLinePunct w:val="0"/>
        <w:autoSpaceDE/>
        <w:autoSpaceDN w:val="0"/>
        <w:bidi w:val="0"/>
        <w:adjustRightInd w:val="0"/>
        <w:snapToGrid w:val="0"/>
        <w:spacing w:line="360" w:lineRule="auto"/>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如果推荐的第一成交候选人向采购人来书面函退出或违反采购文件规定或不能履行合同的，则采购人视为该第一成交候选人放弃成交资格。则采购人在法律法规允许的情况下可按中选人排名顺序依次确定递补中选人资格，或重新组织采购。</w:t>
      </w:r>
    </w:p>
    <w:p w14:paraId="17AF04BC">
      <w:pPr>
        <w:pStyle w:val="90"/>
        <w:keepNext w:val="0"/>
        <w:keepLines w:val="0"/>
        <w:pageBreakBefore w:val="0"/>
        <w:widowControl/>
        <w:numPr>
          <w:ilvl w:val="0"/>
          <w:numId w:val="0"/>
        </w:numPr>
        <w:kinsoku/>
        <w:wordWrap/>
        <w:overflowPunct/>
        <w:topLinePunct w:val="0"/>
        <w:autoSpaceDE/>
        <w:autoSpaceDN w:val="0"/>
        <w:bidi w:val="0"/>
        <w:adjustRightInd w:val="0"/>
        <w:snapToGrid w:val="0"/>
        <w:spacing w:line="360" w:lineRule="auto"/>
        <w:ind w:firstLine="422" w:firstLineChars="200"/>
        <w:jc w:val="left"/>
        <w:textAlignment w:val="auto"/>
        <w:rPr>
          <w:rFonts w:hint="eastAsia" w:ascii="宋体" w:hAnsi="宋体" w:eastAsia="宋体" w:cs="宋体"/>
          <w:b/>
          <w:bCs/>
          <w:color w:val="auto"/>
          <w:sz w:val="21"/>
          <w:szCs w:val="21"/>
          <w:lang w:val="en-US" w:eastAsia="zh-CN"/>
        </w:rPr>
      </w:pPr>
    </w:p>
    <w:p w14:paraId="588BE1C2">
      <w:pPr>
        <w:pStyle w:val="90"/>
        <w:keepNext w:val="0"/>
        <w:keepLines w:val="0"/>
        <w:pageBreakBefore w:val="0"/>
        <w:widowControl/>
        <w:numPr>
          <w:ilvl w:val="0"/>
          <w:numId w:val="0"/>
        </w:numPr>
        <w:kinsoku/>
        <w:wordWrap/>
        <w:overflowPunct/>
        <w:topLinePunct w:val="0"/>
        <w:autoSpaceDE/>
        <w:autoSpaceDN w:val="0"/>
        <w:bidi w:val="0"/>
        <w:adjustRightInd w:val="0"/>
        <w:snapToGrid w:val="0"/>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宋体" w:hAnsi="宋体" w:eastAsia="宋体" w:cs="宋体"/>
          <w:b/>
          <w:bCs/>
          <w:color w:val="auto"/>
          <w:sz w:val="21"/>
          <w:szCs w:val="21"/>
          <w:lang w:val="en-US" w:eastAsia="zh-CN"/>
        </w:rPr>
        <w:t>3.</w:t>
      </w:r>
      <w:r>
        <w:rPr>
          <w:rFonts w:hint="eastAsia" w:asciiTheme="minorEastAsia" w:hAnsiTheme="minorEastAsia" w:eastAsiaTheme="minorEastAsia" w:cstheme="minorEastAsia"/>
          <w:b/>
          <w:bCs/>
          <w:color w:val="auto"/>
          <w:sz w:val="21"/>
          <w:szCs w:val="21"/>
          <w:highlight w:val="none"/>
          <w:lang w:val="en-US" w:eastAsia="zh-CN"/>
        </w:rPr>
        <w:t>商务技术评分（满分55分）</w:t>
      </w:r>
    </w:p>
    <w:p w14:paraId="2D8814CB">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auto"/>
          <w:sz w:val="21"/>
          <w:szCs w:val="21"/>
          <w:highlight w:val="none"/>
          <w:lang w:val="en-US" w:eastAsia="zh-CN"/>
        </w:rPr>
      </w:pPr>
      <w:r>
        <w:rPr>
          <w:rFonts w:hint="default" w:asciiTheme="minorEastAsia" w:hAnsiTheme="minorEastAsia" w:eastAsiaTheme="minorEastAsia" w:cstheme="minorEastAsia"/>
          <w:b w:val="0"/>
          <w:bCs w:val="0"/>
          <w:color w:val="auto"/>
          <w:sz w:val="21"/>
          <w:szCs w:val="21"/>
          <w:highlight w:val="none"/>
          <w:lang w:val="en-US" w:eastAsia="zh-CN"/>
        </w:rPr>
        <w:t>评委将依据响应供应商提供的响应文件进行审核，填写商务技术评审表，工作人员汇集每一评委的评分，将全部评委的评分进行算术平均，得出该响应供应商的得分(技术商务最终得分=响应供应商的得分*100%)。具体内容及评分细则如下：</w:t>
      </w:r>
    </w:p>
    <w:tbl>
      <w:tblPr>
        <w:tblStyle w:val="45"/>
        <w:tblW w:w="8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795"/>
        <w:gridCol w:w="840"/>
        <w:gridCol w:w="6072"/>
      </w:tblGrid>
      <w:tr w14:paraId="496A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486DD706">
            <w:pPr>
              <w:widowControl w:val="0"/>
              <w:spacing w:line="240" w:lineRule="auto"/>
              <w:ind w:firstLine="0" w:firstLineChars="0"/>
              <w:jc w:val="center"/>
              <w:rPr>
                <w:rFonts w:hint="eastAsia" w:ascii="宋体" w:hAnsi="宋体"/>
                <w:b/>
                <w:highlight w:val="none"/>
                <w:lang w:eastAsia="zh-CN"/>
              </w:rPr>
            </w:pPr>
            <w:r>
              <w:rPr>
                <w:rFonts w:hint="eastAsia" w:ascii="宋体" w:hAnsi="宋体"/>
                <w:b/>
                <w:highlight w:val="none"/>
                <w:lang w:eastAsia="zh-CN"/>
              </w:rPr>
              <w:t>序号</w:t>
            </w:r>
          </w:p>
        </w:tc>
        <w:tc>
          <w:tcPr>
            <w:tcW w:w="795" w:type="dxa"/>
            <w:vAlign w:val="center"/>
          </w:tcPr>
          <w:p w14:paraId="38DEE0B7">
            <w:pPr>
              <w:widowControl w:val="0"/>
              <w:spacing w:line="240" w:lineRule="auto"/>
              <w:ind w:firstLine="0" w:firstLineChars="0"/>
              <w:jc w:val="center"/>
              <w:rPr>
                <w:rFonts w:hint="eastAsia" w:ascii="宋体" w:hAnsi="宋体"/>
                <w:b/>
                <w:highlight w:val="none"/>
                <w:lang w:eastAsia="zh-CN"/>
              </w:rPr>
            </w:pPr>
            <w:r>
              <w:rPr>
                <w:rFonts w:hint="eastAsia" w:ascii="宋体" w:hAnsi="宋体"/>
                <w:b/>
                <w:highlight w:val="none"/>
                <w:lang w:eastAsia="zh-CN"/>
              </w:rPr>
              <w:t>评审项目</w:t>
            </w:r>
          </w:p>
        </w:tc>
        <w:tc>
          <w:tcPr>
            <w:tcW w:w="840" w:type="dxa"/>
            <w:vAlign w:val="center"/>
          </w:tcPr>
          <w:p w14:paraId="595F96A9">
            <w:pPr>
              <w:widowControl w:val="0"/>
              <w:spacing w:line="240" w:lineRule="auto"/>
              <w:ind w:firstLine="0" w:firstLineChars="0"/>
              <w:jc w:val="center"/>
              <w:rPr>
                <w:rFonts w:hint="eastAsia" w:ascii="宋体" w:hAnsi="宋体"/>
                <w:b/>
                <w:highlight w:val="none"/>
                <w:lang w:eastAsia="zh-CN"/>
              </w:rPr>
            </w:pPr>
            <w:r>
              <w:rPr>
                <w:rFonts w:hint="eastAsia" w:ascii="宋体" w:hAnsi="宋体"/>
                <w:b/>
                <w:highlight w:val="none"/>
                <w:lang w:eastAsia="zh-CN"/>
              </w:rPr>
              <w:t>分配分数</w:t>
            </w:r>
          </w:p>
        </w:tc>
        <w:tc>
          <w:tcPr>
            <w:tcW w:w="6072" w:type="dxa"/>
            <w:vAlign w:val="center"/>
          </w:tcPr>
          <w:p w14:paraId="4323A47D">
            <w:pPr>
              <w:widowControl w:val="0"/>
              <w:spacing w:line="240" w:lineRule="auto"/>
              <w:ind w:firstLine="0" w:firstLineChars="0"/>
              <w:jc w:val="center"/>
              <w:rPr>
                <w:rFonts w:hint="eastAsia" w:ascii="宋体" w:hAnsi="宋体"/>
                <w:b/>
                <w:highlight w:val="none"/>
                <w:lang w:eastAsia="zh-CN"/>
              </w:rPr>
            </w:pPr>
            <w:r>
              <w:rPr>
                <w:rFonts w:hint="eastAsia" w:ascii="宋体" w:hAnsi="宋体"/>
                <w:b/>
                <w:highlight w:val="none"/>
                <w:lang w:eastAsia="zh-CN"/>
              </w:rPr>
              <w:t>评分范围</w:t>
            </w:r>
          </w:p>
        </w:tc>
      </w:tr>
      <w:tr w14:paraId="364F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0B4410D4">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1</w:t>
            </w:r>
          </w:p>
        </w:tc>
        <w:tc>
          <w:tcPr>
            <w:tcW w:w="795" w:type="dxa"/>
            <w:vAlign w:val="center"/>
          </w:tcPr>
          <w:p w14:paraId="4D464186">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技术响应（▲关键指标项）</w:t>
            </w:r>
          </w:p>
        </w:tc>
        <w:tc>
          <w:tcPr>
            <w:tcW w:w="840" w:type="dxa"/>
            <w:vAlign w:val="center"/>
          </w:tcPr>
          <w:p w14:paraId="1B4C877A">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val="en-US" w:eastAsia="zh-CN"/>
              </w:rPr>
              <w:t>12</w:t>
            </w:r>
            <w:r>
              <w:rPr>
                <w:rFonts w:hint="eastAsia" w:ascii="宋体" w:hAnsi="宋体"/>
                <w:highlight w:val="none"/>
                <w:lang w:eastAsia="zh-CN"/>
              </w:rPr>
              <w:t>分</w:t>
            </w:r>
          </w:p>
        </w:tc>
        <w:tc>
          <w:tcPr>
            <w:tcW w:w="6072" w:type="dxa"/>
            <w:vAlign w:val="center"/>
          </w:tcPr>
          <w:p w14:paraId="61F605F8">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投标人所投产品及实施方案须满足采购需求中标注"▲"的关键技术指标。全部满足得</w:t>
            </w:r>
            <w:r>
              <w:rPr>
                <w:rFonts w:hint="eastAsia" w:ascii="宋体" w:hAnsi="宋体"/>
                <w:highlight w:val="none"/>
                <w:lang w:val="en-US" w:eastAsia="zh-CN"/>
              </w:rPr>
              <w:t>12</w:t>
            </w:r>
            <w:r>
              <w:rPr>
                <w:rFonts w:hint="eastAsia" w:ascii="宋体" w:hAnsi="宋体"/>
                <w:highlight w:val="none"/>
                <w:lang w:eastAsia="zh-CN"/>
              </w:rPr>
              <w:t>分；存在负偏离的，每项扣</w:t>
            </w:r>
            <w:r>
              <w:rPr>
                <w:rFonts w:hint="eastAsia" w:ascii="宋体" w:hAnsi="宋体"/>
                <w:highlight w:val="none"/>
                <w:lang w:val="en-US" w:eastAsia="zh-CN"/>
              </w:rPr>
              <w:t>3</w:t>
            </w:r>
            <w:r>
              <w:rPr>
                <w:rFonts w:hint="eastAsia" w:ascii="宋体" w:hAnsi="宋体"/>
                <w:highlight w:val="none"/>
                <w:lang w:eastAsia="zh-CN"/>
              </w:rPr>
              <w:t>分，扣至0分为止。</w:t>
            </w:r>
            <w:r>
              <w:rPr>
                <w:rFonts w:hint="eastAsia" w:ascii="宋体" w:hAnsi="宋体"/>
                <w:b/>
                <w:bCs/>
                <w:highlight w:val="none"/>
                <w:lang w:eastAsia="zh-CN"/>
              </w:rPr>
              <w:t>注：（1）评审依据以采购需求明确要求提供的证明文件及供应商响应文件中《技术和服务要求响应表》填写内容为准，供应商须逐条对技术条款进行响应，未填写的视为负偏离。（2）所有响应均应按要求提供支撑资料（须在《技术参数响应表》注明具体位置如页码或序号，否则视为未实质性响应）。（3）标有★的强制性条款须全部满足，作为符合性审查项，不纳入本项计分。</w:t>
            </w:r>
          </w:p>
        </w:tc>
      </w:tr>
      <w:tr w14:paraId="1B3C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246F4B06">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2</w:t>
            </w:r>
          </w:p>
        </w:tc>
        <w:tc>
          <w:tcPr>
            <w:tcW w:w="795" w:type="dxa"/>
            <w:vAlign w:val="center"/>
          </w:tcPr>
          <w:p w14:paraId="5C9DDCED">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项目实施方案</w:t>
            </w:r>
          </w:p>
        </w:tc>
        <w:tc>
          <w:tcPr>
            <w:tcW w:w="840" w:type="dxa"/>
            <w:vAlign w:val="center"/>
          </w:tcPr>
          <w:p w14:paraId="2F314F55">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val="en-US" w:eastAsia="zh-CN"/>
              </w:rPr>
              <w:t>10</w:t>
            </w:r>
            <w:r>
              <w:rPr>
                <w:rFonts w:hint="eastAsia" w:ascii="宋体" w:hAnsi="宋体"/>
                <w:highlight w:val="none"/>
                <w:lang w:eastAsia="zh-CN"/>
              </w:rPr>
              <w:t>分</w:t>
            </w:r>
          </w:p>
        </w:tc>
        <w:tc>
          <w:tcPr>
            <w:tcW w:w="6072" w:type="dxa"/>
            <w:vAlign w:val="center"/>
          </w:tcPr>
          <w:p w14:paraId="11BD448D">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val="en-US" w:eastAsia="zh-CN"/>
              </w:rPr>
              <w:t>投标人对原设备数据备份、</w:t>
            </w:r>
            <w:r>
              <w:rPr>
                <w:rFonts w:hint="eastAsia" w:ascii="宋体" w:hAnsi="宋体"/>
                <w:highlight w:val="none"/>
                <w:lang w:eastAsia="zh-CN"/>
              </w:rPr>
              <w:t>硬盘更换、</w:t>
            </w:r>
            <w:r>
              <w:rPr>
                <w:rFonts w:hint="eastAsia" w:ascii="宋体" w:hAnsi="宋体" w:eastAsia="宋体" w:cs="宋体"/>
                <w:color w:val="auto"/>
                <w:highlight w:val="none"/>
                <w:lang w:eastAsia="zh-CN"/>
              </w:rPr>
              <w:t>超融合分布式存储授权配置与系统初始化、分布式存储重新初始化并重新配置副本数策略</w:t>
            </w:r>
            <w:r>
              <w:rPr>
                <w:rFonts w:hint="eastAsia" w:ascii="宋体" w:hAnsi="宋体"/>
                <w:highlight w:val="none"/>
                <w:lang w:eastAsia="zh-CN"/>
              </w:rPr>
              <w:t>及业务上线等实施环节的详细方案：</w:t>
            </w:r>
          </w:p>
          <w:p w14:paraId="24FB9271">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1、方案深度契合需求，技术架构成熟可靠；实施计划详尽，覆盖硬盘更换、阵列重建、业务迁移与回迁全部工序，关键节点、资源投入及风险控制措施明确有力；得</w:t>
            </w:r>
            <w:r>
              <w:rPr>
                <w:rFonts w:hint="eastAsia" w:ascii="宋体" w:hAnsi="宋体"/>
                <w:highlight w:val="none"/>
                <w:lang w:val="en-US" w:eastAsia="zh-CN"/>
              </w:rPr>
              <w:t>10</w:t>
            </w:r>
            <w:r>
              <w:rPr>
                <w:rFonts w:hint="eastAsia" w:ascii="宋体" w:hAnsi="宋体"/>
                <w:highlight w:val="none"/>
                <w:lang w:eastAsia="zh-CN"/>
              </w:rPr>
              <w:t>分。</w:t>
            </w:r>
          </w:p>
          <w:p w14:paraId="622DBBE3">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2、方案基本满足需求，技术架构合理；实施计划与保障措施基本完整；得</w:t>
            </w:r>
            <w:r>
              <w:rPr>
                <w:rFonts w:hint="eastAsia" w:ascii="宋体" w:hAnsi="宋体"/>
                <w:highlight w:val="none"/>
                <w:lang w:val="en-US" w:eastAsia="zh-CN"/>
              </w:rPr>
              <w:t>6</w:t>
            </w:r>
            <w:r>
              <w:rPr>
                <w:rFonts w:hint="eastAsia" w:ascii="宋体" w:hAnsi="宋体"/>
                <w:highlight w:val="none"/>
                <w:lang w:eastAsia="zh-CN"/>
              </w:rPr>
              <w:t>分。</w:t>
            </w:r>
          </w:p>
          <w:p w14:paraId="0F8DCE35">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3、方案与需求匹配度一般，技术细节或实施计划存在不足；得</w:t>
            </w:r>
            <w:r>
              <w:rPr>
                <w:rFonts w:hint="eastAsia" w:ascii="宋体" w:hAnsi="宋体"/>
                <w:highlight w:val="none"/>
                <w:lang w:val="en-US" w:eastAsia="zh-CN"/>
              </w:rPr>
              <w:t>2</w:t>
            </w:r>
            <w:r>
              <w:rPr>
                <w:rFonts w:hint="eastAsia" w:ascii="宋体" w:hAnsi="宋体"/>
                <w:highlight w:val="none"/>
                <w:lang w:eastAsia="zh-CN"/>
              </w:rPr>
              <w:t>分。</w:t>
            </w:r>
          </w:p>
          <w:p w14:paraId="4E2C7975">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4、未提供方案，或方案存在重大偏离、关键内容缺失，不得分。</w:t>
            </w:r>
          </w:p>
        </w:tc>
      </w:tr>
      <w:tr w14:paraId="0D15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7334F08E">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3</w:t>
            </w:r>
          </w:p>
        </w:tc>
        <w:tc>
          <w:tcPr>
            <w:tcW w:w="795" w:type="dxa"/>
            <w:vAlign w:val="center"/>
          </w:tcPr>
          <w:p w14:paraId="50FD65CE">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质量保证措施</w:t>
            </w:r>
          </w:p>
        </w:tc>
        <w:tc>
          <w:tcPr>
            <w:tcW w:w="840" w:type="dxa"/>
            <w:vAlign w:val="center"/>
          </w:tcPr>
          <w:p w14:paraId="2437712B">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val="en-US" w:eastAsia="zh-CN"/>
              </w:rPr>
              <w:t>6</w:t>
            </w:r>
            <w:r>
              <w:rPr>
                <w:rFonts w:hint="eastAsia" w:ascii="宋体" w:hAnsi="宋体"/>
                <w:highlight w:val="none"/>
                <w:lang w:eastAsia="zh-CN"/>
              </w:rPr>
              <w:t>分</w:t>
            </w:r>
          </w:p>
        </w:tc>
        <w:tc>
          <w:tcPr>
            <w:tcW w:w="6072" w:type="dxa"/>
            <w:vAlign w:val="center"/>
          </w:tcPr>
          <w:p w14:paraId="7DFD5695">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1、管理制度、方法策略、文档规范性、风险控制等内容完整详细、切实可行，完全满足且优于项目需求，得</w:t>
            </w:r>
            <w:r>
              <w:rPr>
                <w:rFonts w:hint="eastAsia" w:ascii="宋体" w:hAnsi="宋体"/>
                <w:highlight w:val="none"/>
                <w:lang w:val="en-US" w:eastAsia="zh-CN"/>
              </w:rPr>
              <w:t>6</w:t>
            </w:r>
            <w:r>
              <w:rPr>
                <w:rFonts w:hint="eastAsia" w:ascii="宋体" w:hAnsi="宋体"/>
                <w:highlight w:val="none"/>
                <w:lang w:eastAsia="zh-CN"/>
              </w:rPr>
              <w:t>分。</w:t>
            </w:r>
          </w:p>
          <w:p w14:paraId="7AEF9BC5">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2、内容较完整、切实可行，完全满足项目需求，得</w:t>
            </w:r>
            <w:r>
              <w:rPr>
                <w:rFonts w:hint="eastAsia" w:ascii="宋体" w:hAnsi="宋体"/>
                <w:highlight w:val="none"/>
                <w:lang w:val="en-US" w:eastAsia="zh-CN"/>
              </w:rPr>
              <w:t>4</w:t>
            </w:r>
            <w:r>
              <w:rPr>
                <w:rFonts w:hint="eastAsia" w:ascii="宋体" w:hAnsi="宋体"/>
                <w:highlight w:val="none"/>
                <w:lang w:eastAsia="zh-CN"/>
              </w:rPr>
              <w:t>分。</w:t>
            </w:r>
          </w:p>
          <w:p w14:paraId="5537C854">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3、内容无针对性的，得</w:t>
            </w:r>
            <w:r>
              <w:rPr>
                <w:rFonts w:hint="eastAsia" w:ascii="宋体" w:hAnsi="宋体"/>
                <w:highlight w:val="none"/>
                <w:lang w:val="en-US" w:eastAsia="zh-CN"/>
              </w:rPr>
              <w:t>2</w:t>
            </w:r>
            <w:r>
              <w:rPr>
                <w:rFonts w:hint="eastAsia" w:ascii="宋体" w:hAnsi="宋体"/>
                <w:highlight w:val="none"/>
                <w:lang w:eastAsia="zh-CN"/>
              </w:rPr>
              <w:t>分。</w:t>
            </w:r>
          </w:p>
          <w:p w14:paraId="580D30C8">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4、未提供不得分。</w:t>
            </w:r>
          </w:p>
        </w:tc>
      </w:tr>
      <w:tr w14:paraId="5098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03A7B3AF">
            <w:pPr>
              <w:widowControl w:val="0"/>
              <w:spacing w:line="240" w:lineRule="auto"/>
              <w:ind w:firstLine="0" w:firstLineChars="0"/>
              <w:jc w:val="center"/>
              <w:rPr>
                <w:rFonts w:hint="eastAsia" w:ascii="宋体" w:hAnsi="宋体"/>
                <w:color w:val="auto"/>
                <w:highlight w:val="none"/>
                <w:lang w:eastAsia="zh-CN"/>
              </w:rPr>
            </w:pPr>
            <w:r>
              <w:rPr>
                <w:rFonts w:ascii="宋体" w:hAnsi="宋体"/>
                <w:color w:val="auto"/>
                <w:highlight w:val="none"/>
                <w:lang w:eastAsia="zh-CN"/>
              </w:rPr>
              <w:t>4</w:t>
            </w:r>
          </w:p>
        </w:tc>
        <w:tc>
          <w:tcPr>
            <w:tcW w:w="795" w:type="dxa"/>
            <w:vAlign w:val="center"/>
          </w:tcPr>
          <w:p w14:paraId="53A4EF7A">
            <w:pPr>
              <w:widowControl w:val="0"/>
              <w:spacing w:line="240" w:lineRule="auto"/>
              <w:ind w:firstLine="0" w:firstLineChars="0"/>
              <w:jc w:val="both"/>
              <w:rPr>
                <w:rFonts w:hint="eastAsia" w:ascii="宋体" w:hAnsi="宋体"/>
                <w:color w:val="auto"/>
                <w:highlight w:val="none"/>
                <w:lang w:eastAsia="zh-CN"/>
              </w:rPr>
            </w:pPr>
            <w:r>
              <w:rPr>
                <w:rFonts w:hint="eastAsia" w:ascii="宋体" w:hAnsi="宋体"/>
                <w:color w:val="auto"/>
                <w:highlight w:val="none"/>
                <w:lang w:eastAsia="zh-CN"/>
              </w:rPr>
              <w:t>同类业绩</w:t>
            </w:r>
          </w:p>
        </w:tc>
        <w:tc>
          <w:tcPr>
            <w:tcW w:w="840" w:type="dxa"/>
            <w:vAlign w:val="center"/>
          </w:tcPr>
          <w:p w14:paraId="79841048">
            <w:pPr>
              <w:widowControl w:val="0"/>
              <w:spacing w:line="240" w:lineRule="auto"/>
              <w:ind w:firstLine="0" w:firstLineChars="0"/>
              <w:jc w:val="center"/>
              <w:rPr>
                <w:rFonts w:hint="eastAsia" w:ascii="宋体" w:hAnsi="宋体"/>
                <w:color w:val="auto"/>
                <w:highlight w:val="none"/>
                <w:lang w:eastAsia="zh-CN"/>
              </w:rPr>
            </w:pPr>
            <w:r>
              <w:rPr>
                <w:rFonts w:hint="eastAsia" w:ascii="宋体" w:hAnsi="宋体"/>
                <w:color w:val="auto"/>
                <w:highlight w:val="none"/>
                <w:lang w:val="en-US" w:eastAsia="zh-CN"/>
              </w:rPr>
              <w:t>5</w:t>
            </w:r>
            <w:r>
              <w:rPr>
                <w:rFonts w:hint="eastAsia" w:ascii="宋体" w:hAnsi="宋体"/>
                <w:color w:val="auto"/>
                <w:highlight w:val="none"/>
                <w:lang w:eastAsia="zh-CN"/>
              </w:rPr>
              <w:t>分</w:t>
            </w:r>
          </w:p>
        </w:tc>
        <w:tc>
          <w:tcPr>
            <w:tcW w:w="6072" w:type="dxa"/>
            <w:vAlign w:val="center"/>
          </w:tcPr>
          <w:p w14:paraId="5A7188C0">
            <w:pPr>
              <w:widowControl w:val="0"/>
              <w:spacing w:line="240" w:lineRule="auto"/>
              <w:ind w:firstLine="0" w:firstLineChars="0"/>
              <w:jc w:val="both"/>
              <w:rPr>
                <w:rFonts w:hint="eastAsia" w:ascii="宋体" w:hAnsi="宋体"/>
                <w:color w:val="auto"/>
                <w:highlight w:val="none"/>
                <w:lang w:eastAsia="zh-CN"/>
              </w:rPr>
            </w:pPr>
            <w:r>
              <w:rPr>
                <w:rFonts w:hint="eastAsia" w:ascii="宋体" w:hAnsi="宋体" w:eastAsia="宋体" w:cs="宋体"/>
                <w:kern w:val="2"/>
                <w:sz w:val="21"/>
                <w:szCs w:val="21"/>
                <w:lang w:val="en-US" w:eastAsia="zh-CN" w:bidi="ar"/>
              </w:rPr>
              <w:t>投标人2021年1月至今完成过的相关同类项目经验</w:t>
            </w:r>
            <w:r>
              <w:rPr>
                <w:rFonts w:hint="eastAsia" w:ascii="宋体" w:hAnsi="宋体"/>
                <w:highlight w:val="none"/>
                <w:lang w:eastAsia="zh-CN"/>
              </w:rPr>
              <w:t>以合同或验收证明为准）每提供一个得</w:t>
            </w:r>
            <w:r>
              <w:rPr>
                <w:rFonts w:hint="eastAsia" w:ascii="宋体" w:hAnsi="宋体"/>
                <w:highlight w:val="none"/>
                <w:lang w:val="en-US" w:eastAsia="zh-CN"/>
              </w:rPr>
              <w:t>1</w:t>
            </w:r>
            <w:r>
              <w:rPr>
                <w:rFonts w:hint="eastAsia" w:ascii="宋体" w:hAnsi="宋体"/>
                <w:highlight w:val="none"/>
                <w:lang w:eastAsia="zh-CN"/>
              </w:rPr>
              <w:t>分，满分</w:t>
            </w:r>
            <w:r>
              <w:rPr>
                <w:rFonts w:hint="eastAsia" w:ascii="宋体" w:hAnsi="宋体"/>
                <w:highlight w:val="none"/>
                <w:lang w:val="en-US" w:eastAsia="zh-CN"/>
              </w:rPr>
              <w:t>5</w:t>
            </w:r>
            <w:r>
              <w:rPr>
                <w:rFonts w:hint="eastAsia" w:ascii="宋体" w:hAnsi="宋体"/>
                <w:highlight w:val="none"/>
                <w:lang w:eastAsia="zh-CN"/>
              </w:rPr>
              <w:t>分。</w:t>
            </w:r>
            <w:r>
              <w:rPr>
                <w:rFonts w:hint="eastAsia" w:ascii="宋体" w:hAnsi="宋体"/>
                <w:b/>
                <w:bCs/>
                <w:highlight w:val="none"/>
                <w:lang w:eastAsia="zh-CN"/>
              </w:rPr>
              <w:t>注：提供合同关键页（合同首页、金额页、建设内容页、盖章页）复印件并加盖公章，否则不得分</w:t>
            </w:r>
            <w:r>
              <w:rPr>
                <w:rFonts w:hint="eastAsia" w:ascii="宋体" w:hAnsi="宋体"/>
                <w:highlight w:val="none"/>
                <w:lang w:eastAsia="zh-CN"/>
              </w:rPr>
              <w:t>。</w:t>
            </w:r>
          </w:p>
        </w:tc>
      </w:tr>
      <w:tr w14:paraId="59CC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73FD76CD">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5</w:t>
            </w:r>
          </w:p>
        </w:tc>
        <w:tc>
          <w:tcPr>
            <w:tcW w:w="795" w:type="dxa"/>
            <w:vAlign w:val="center"/>
          </w:tcPr>
          <w:p w14:paraId="5DC37FBF">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企业实力</w:t>
            </w:r>
          </w:p>
        </w:tc>
        <w:tc>
          <w:tcPr>
            <w:tcW w:w="840" w:type="dxa"/>
            <w:vAlign w:val="center"/>
          </w:tcPr>
          <w:p w14:paraId="3008A42B">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val="en-US" w:eastAsia="zh-CN"/>
              </w:rPr>
              <w:t>6</w:t>
            </w:r>
            <w:r>
              <w:rPr>
                <w:rFonts w:hint="eastAsia" w:ascii="宋体" w:hAnsi="宋体"/>
                <w:highlight w:val="none"/>
                <w:lang w:eastAsia="zh-CN"/>
              </w:rPr>
              <w:t>分</w:t>
            </w:r>
          </w:p>
        </w:tc>
        <w:tc>
          <w:tcPr>
            <w:tcW w:w="6072" w:type="dxa"/>
            <w:vAlign w:val="center"/>
          </w:tcPr>
          <w:p w14:paraId="21E35F3E">
            <w:pPr>
              <w:widowControl w:val="0"/>
              <w:numPr>
                <w:ilvl w:val="0"/>
                <w:numId w:val="7"/>
              </w:numPr>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有效的ISO质量管理体系认证证书</w:t>
            </w:r>
          </w:p>
          <w:p w14:paraId="1F6A62D2">
            <w:pPr>
              <w:widowControl w:val="0"/>
              <w:numPr>
                <w:ilvl w:val="0"/>
                <w:numId w:val="7"/>
              </w:numPr>
              <w:spacing w:line="240" w:lineRule="auto"/>
              <w:ind w:left="0" w:leftChars="0" w:firstLine="0" w:firstLineChars="0"/>
              <w:jc w:val="both"/>
              <w:rPr>
                <w:rFonts w:hint="eastAsia" w:ascii="宋体" w:hAnsi="宋体"/>
                <w:highlight w:val="none"/>
                <w:lang w:eastAsia="zh-CN"/>
              </w:rPr>
            </w:pPr>
            <w:r>
              <w:rPr>
                <w:rFonts w:hint="eastAsia" w:ascii="宋体" w:hAnsi="宋体"/>
                <w:highlight w:val="none"/>
                <w:lang w:eastAsia="zh-CN"/>
              </w:rPr>
              <w:t>有效的ISO环境管理体系认证证书</w:t>
            </w:r>
          </w:p>
          <w:p w14:paraId="568EE108">
            <w:pPr>
              <w:widowControl w:val="0"/>
              <w:numPr>
                <w:ilvl w:val="0"/>
                <w:numId w:val="7"/>
              </w:numPr>
              <w:spacing w:line="240" w:lineRule="auto"/>
              <w:ind w:left="0" w:leftChars="0" w:firstLine="0" w:firstLineChars="0"/>
              <w:jc w:val="both"/>
              <w:rPr>
                <w:rFonts w:hint="eastAsia" w:ascii="宋体" w:hAnsi="宋体"/>
                <w:highlight w:val="none"/>
                <w:lang w:eastAsia="zh-CN"/>
              </w:rPr>
            </w:pPr>
            <w:r>
              <w:rPr>
                <w:rFonts w:hint="eastAsia" w:ascii="宋体" w:hAnsi="宋体"/>
                <w:highlight w:val="none"/>
                <w:lang w:eastAsia="zh-CN"/>
              </w:rPr>
              <w:t>有效的ISO信息安全管理体系认证证书。</w:t>
            </w:r>
          </w:p>
          <w:p w14:paraId="753BA373">
            <w:pPr>
              <w:widowControl w:val="0"/>
              <w:numPr>
                <w:ilvl w:val="0"/>
                <w:numId w:val="0"/>
              </w:numPr>
              <w:spacing w:line="240" w:lineRule="auto"/>
              <w:ind w:leftChars="0"/>
              <w:jc w:val="both"/>
              <w:rPr>
                <w:rFonts w:hint="default" w:ascii="宋体" w:hAnsi="宋体"/>
                <w:highlight w:val="none"/>
                <w:lang w:val="en-US" w:eastAsia="zh-CN"/>
              </w:rPr>
            </w:pPr>
            <w:r>
              <w:rPr>
                <w:rFonts w:hint="eastAsia" w:ascii="宋体" w:hAnsi="宋体"/>
                <w:highlight w:val="none"/>
                <w:lang w:val="en-US" w:eastAsia="zh-CN"/>
              </w:rPr>
              <w:t>每提供一个得2分，没有不得分，满分6分</w:t>
            </w:r>
          </w:p>
          <w:p w14:paraId="425BE0D3">
            <w:pPr>
              <w:widowControl w:val="0"/>
              <w:spacing w:line="240" w:lineRule="auto"/>
              <w:ind w:firstLine="0" w:firstLineChars="0"/>
              <w:jc w:val="both"/>
              <w:rPr>
                <w:rFonts w:hint="eastAsia" w:ascii="宋体" w:hAnsi="宋体"/>
                <w:highlight w:val="none"/>
                <w:lang w:eastAsia="zh-CN"/>
              </w:rPr>
            </w:pPr>
            <w:r>
              <w:rPr>
                <w:rFonts w:hint="eastAsia" w:ascii="宋体" w:hAnsi="宋体"/>
                <w:b/>
                <w:bCs/>
                <w:highlight w:val="none"/>
                <w:lang w:eastAsia="zh-CN"/>
              </w:rPr>
              <w:t>注：（1）提供有效期内认证证书复印件加盖公章；（2）分支机构投标的，可沿用总公司资质；（3）因企业成立时间不足3个月未能取得相关认证且提供书面说明的，对应证书可得分。</w:t>
            </w:r>
          </w:p>
        </w:tc>
      </w:tr>
      <w:tr w14:paraId="28E6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21105D2A">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6</w:t>
            </w:r>
          </w:p>
        </w:tc>
        <w:tc>
          <w:tcPr>
            <w:tcW w:w="795" w:type="dxa"/>
            <w:vAlign w:val="center"/>
          </w:tcPr>
          <w:p w14:paraId="0BD2E2C9">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项目经理及成员</w:t>
            </w:r>
          </w:p>
        </w:tc>
        <w:tc>
          <w:tcPr>
            <w:tcW w:w="840" w:type="dxa"/>
            <w:vAlign w:val="center"/>
          </w:tcPr>
          <w:p w14:paraId="3452FA48">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eastAsia="zh-CN"/>
              </w:rPr>
              <w:t>8分</w:t>
            </w:r>
          </w:p>
        </w:tc>
        <w:tc>
          <w:tcPr>
            <w:tcW w:w="6072" w:type="dxa"/>
            <w:vAlign w:val="center"/>
          </w:tcPr>
          <w:p w14:paraId="6E587E03">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1、对本项目配备的项目经理（1人）进行评分：</w:t>
            </w:r>
          </w:p>
          <w:p w14:paraId="53E71B78">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（1）计算机或信息安全相关专业本科及以上得2分；</w:t>
            </w:r>
          </w:p>
          <w:p w14:paraId="513F2B25">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（2）具有网络信息安全工程师（高级）证书得2分。</w:t>
            </w:r>
          </w:p>
          <w:p w14:paraId="6415B776">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2、对本项目配备的项目成员（多人）进行评分：（1）具有信息系统集成管理（高级）证书得2分；（2）具有信息安全管理（高级）证书得2分。</w:t>
            </w:r>
          </w:p>
          <w:p w14:paraId="302C2726">
            <w:pPr>
              <w:widowControl w:val="0"/>
              <w:spacing w:line="240" w:lineRule="auto"/>
              <w:ind w:firstLine="0" w:firstLineChars="0"/>
              <w:jc w:val="both"/>
              <w:rPr>
                <w:rFonts w:hint="eastAsia" w:ascii="宋体" w:hAnsi="宋体"/>
                <w:highlight w:val="none"/>
                <w:lang w:eastAsia="zh-CN"/>
              </w:rPr>
            </w:pPr>
            <w:r>
              <w:rPr>
                <w:rFonts w:hint="eastAsia" w:ascii="宋体" w:hAnsi="宋体"/>
                <w:b/>
                <w:bCs/>
                <w:highlight w:val="none"/>
                <w:lang w:eastAsia="zh-CN"/>
              </w:rPr>
              <w:t>注：须提供相关证明复印件及近三个月内任意一个月社保证明，否则不得分。</w:t>
            </w:r>
          </w:p>
        </w:tc>
      </w:tr>
      <w:tr w14:paraId="6A27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vAlign w:val="center"/>
          </w:tcPr>
          <w:p w14:paraId="3444BD46">
            <w:pPr>
              <w:widowControl w:val="0"/>
              <w:spacing w:line="240" w:lineRule="auto"/>
              <w:ind w:firstLine="0" w:firstLineChars="0"/>
              <w:jc w:val="center"/>
              <w:rPr>
                <w:rFonts w:hint="eastAsia" w:ascii="宋体" w:hAnsi="宋体"/>
                <w:highlight w:val="none"/>
                <w:lang w:eastAsia="zh-CN"/>
              </w:rPr>
            </w:pPr>
            <w:r>
              <w:rPr>
                <w:rFonts w:ascii="宋体" w:hAnsi="宋体"/>
                <w:highlight w:val="none"/>
                <w:lang w:eastAsia="zh-CN"/>
              </w:rPr>
              <w:t>7</w:t>
            </w:r>
          </w:p>
        </w:tc>
        <w:tc>
          <w:tcPr>
            <w:tcW w:w="795" w:type="dxa"/>
            <w:vAlign w:val="center"/>
          </w:tcPr>
          <w:p w14:paraId="4C1DE60B">
            <w:pPr>
              <w:widowControl w:val="0"/>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售后服务</w:t>
            </w:r>
          </w:p>
        </w:tc>
        <w:tc>
          <w:tcPr>
            <w:tcW w:w="840" w:type="dxa"/>
            <w:vAlign w:val="center"/>
          </w:tcPr>
          <w:p w14:paraId="320F1601">
            <w:pPr>
              <w:widowControl w:val="0"/>
              <w:spacing w:line="240" w:lineRule="auto"/>
              <w:ind w:firstLine="0" w:firstLineChars="0"/>
              <w:jc w:val="center"/>
              <w:rPr>
                <w:rFonts w:hint="eastAsia" w:ascii="宋体" w:hAnsi="宋体"/>
                <w:highlight w:val="none"/>
                <w:lang w:eastAsia="zh-CN"/>
              </w:rPr>
            </w:pPr>
            <w:r>
              <w:rPr>
                <w:rFonts w:hint="eastAsia" w:ascii="宋体" w:hAnsi="宋体"/>
                <w:highlight w:val="none"/>
                <w:lang w:val="en-US" w:eastAsia="zh-CN"/>
              </w:rPr>
              <w:t>8</w:t>
            </w:r>
            <w:r>
              <w:rPr>
                <w:rFonts w:hint="eastAsia" w:ascii="宋体" w:hAnsi="宋体"/>
                <w:highlight w:val="none"/>
                <w:lang w:eastAsia="zh-CN"/>
              </w:rPr>
              <w:t>分</w:t>
            </w:r>
          </w:p>
        </w:tc>
        <w:tc>
          <w:tcPr>
            <w:tcW w:w="6072" w:type="dxa"/>
            <w:vAlign w:val="center"/>
          </w:tcPr>
          <w:p w14:paraId="441742D4">
            <w:pPr>
              <w:widowControl w:val="0"/>
              <w:numPr>
                <w:ilvl w:val="0"/>
                <w:numId w:val="8"/>
              </w:numPr>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方案内容完整详尽，贴合项目实际需求，售后运维保障体系清晰明确，服务保障措施合理且有针对性，售后承诺具体可行，得</w:t>
            </w:r>
            <w:r>
              <w:rPr>
                <w:rFonts w:hint="eastAsia" w:ascii="宋体" w:hAnsi="宋体"/>
                <w:highlight w:val="none"/>
                <w:lang w:val="en-US" w:eastAsia="zh-CN"/>
              </w:rPr>
              <w:t>8</w:t>
            </w:r>
            <w:r>
              <w:rPr>
                <w:rFonts w:hint="eastAsia" w:ascii="宋体" w:hAnsi="宋体"/>
                <w:highlight w:val="none"/>
                <w:lang w:eastAsia="zh-CN"/>
              </w:rPr>
              <w:t>分。</w:t>
            </w:r>
          </w:p>
          <w:p w14:paraId="4A3CFD5F">
            <w:pPr>
              <w:widowControl w:val="0"/>
              <w:numPr>
                <w:ilvl w:val="0"/>
                <w:numId w:val="8"/>
              </w:numPr>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方案内容完整，有常规的售后运维保障体系和保障计划，售后承诺具体，满足项目需求，得</w:t>
            </w:r>
            <w:r>
              <w:rPr>
                <w:rFonts w:hint="eastAsia" w:ascii="宋体" w:hAnsi="宋体"/>
                <w:highlight w:val="none"/>
                <w:lang w:val="en-US" w:eastAsia="zh-CN"/>
              </w:rPr>
              <w:t>5</w:t>
            </w:r>
            <w:r>
              <w:rPr>
                <w:rFonts w:hint="eastAsia" w:ascii="宋体" w:hAnsi="宋体"/>
                <w:highlight w:val="none"/>
                <w:lang w:eastAsia="zh-CN"/>
              </w:rPr>
              <w:t>分。</w:t>
            </w:r>
          </w:p>
          <w:p w14:paraId="1DCD7D7F">
            <w:pPr>
              <w:widowControl w:val="0"/>
              <w:numPr>
                <w:ilvl w:val="0"/>
                <w:numId w:val="8"/>
              </w:numPr>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方案内容简单，基本满足项目需求，得</w:t>
            </w:r>
            <w:r>
              <w:rPr>
                <w:rFonts w:hint="eastAsia" w:ascii="宋体" w:hAnsi="宋体"/>
                <w:highlight w:val="none"/>
                <w:lang w:val="en-US" w:eastAsia="zh-CN"/>
              </w:rPr>
              <w:t>2</w:t>
            </w:r>
            <w:r>
              <w:rPr>
                <w:rFonts w:hint="eastAsia" w:ascii="宋体" w:hAnsi="宋体"/>
                <w:highlight w:val="none"/>
                <w:lang w:eastAsia="zh-CN"/>
              </w:rPr>
              <w:t>分。</w:t>
            </w:r>
          </w:p>
          <w:p w14:paraId="07CBEE52">
            <w:pPr>
              <w:widowControl w:val="0"/>
              <w:numPr>
                <w:ilvl w:val="0"/>
                <w:numId w:val="8"/>
              </w:numPr>
              <w:spacing w:line="240" w:lineRule="auto"/>
              <w:ind w:firstLine="0" w:firstLineChars="0"/>
              <w:jc w:val="both"/>
              <w:rPr>
                <w:rFonts w:hint="eastAsia" w:ascii="宋体" w:hAnsi="宋体"/>
                <w:highlight w:val="none"/>
                <w:lang w:eastAsia="zh-CN"/>
              </w:rPr>
            </w:pPr>
            <w:r>
              <w:rPr>
                <w:rFonts w:hint="eastAsia" w:ascii="宋体" w:hAnsi="宋体"/>
                <w:highlight w:val="none"/>
                <w:lang w:eastAsia="zh-CN"/>
              </w:rPr>
              <w:t>未提供售后服务方案的，不得分。</w:t>
            </w:r>
          </w:p>
          <w:p w14:paraId="35827DFB">
            <w:pPr>
              <w:widowControl w:val="0"/>
              <w:spacing w:line="240" w:lineRule="auto"/>
              <w:ind w:firstLine="0" w:firstLineChars="0"/>
              <w:jc w:val="both"/>
              <w:rPr>
                <w:rFonts w:hint="eastAsia" w:ascii="宋体" w:hAnsi="宋体"/>
                <w:highlight w:val="none"/>
                <w:lang w:eastAsia="zh-CN"/>
              </w:rPr>
            </w:pPr>
            <w:r>
              <w:rPr>
                <w:rFonts w:hint="eastAsia" w:ascii="宋体" w:hAnsi="宋体"/>
                <w:b/>
                <w:bCs/>
                <w:highlight w:val="none"/>
                <w:lang w:eastAsia="zh-CN"/>
              </w:rPr>
              <w:t>注：须提供加盖公章的售后服务响应时间承诺函。</w:t>
            </w:r>
          </w:p>
        </w:tc>
      </w:tr>
      <w:tr w14:paraId="3622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78" w:type="dxa"/>
            <w:vAlign w:val="center"/>
          </w:tcPr>
          <w:p w14:paraId="156B67A2">
            <w:pPr>
              <w:widowControl w:val="0"/>
              <w:spacing w:line="240" w:lineRule="auto"/>
              <w:ind w:firstLine="0" w:firstLineChars="0"/>
              <w:jc w:val="center"/>
              <w:rPr>
                <w:rFonts w:hint="eastAsia" w:ascii="宋体" w:hAnsi="宋体"/>
                <w:b/>
                <w:highlight w:val="none"/>
                <w:lang w:eastAsia="zh-CN"/>
              </w:rPr>
            </w:pPr>
          </w:p>
        </w:tc>
        <w:tc>
          <w:tcPr>
            <w:tcW w:w="795" w:type="dxa"/>
            <w:vAlign w:val="center"/>
          </w:tcPr>
          <w:p w14:paraId="547368EC">
            <w:pPr>
              <w:widowControl w:val="0"/>
              <w:spacing w:line="240" w:lineRule="auto"/>
              <w:ind w:firstLine="0" w:firstLineChars="0"/>
              <w:jc w:val="both"/>
              <w:rPr>
                <w:rFonts w:hint="eastAsia" w:ascii="宋体" w:hAnsi="宋体"/>
                <w:b/>
                <w:highlight w:val="none"/>
                <w:lang w:eastAsia="zh-CN"/>
              </w:rPr>
            </w:pPr>
            <w:r>
              <w:rPr>
                <w:rFonts w:hint="eastAsia" w:ascii="宋体" w:hAnsi="宋体"/>
                <w:b/>
                <w:highlight w:val="none"/>
                <w:lang w:eastAsia="zh-CN"/>
              </w:rPr>
              <w:t>合计</w:t>
            </w:r>
          </w:p>
        </w:tc>
        <w:tc>
          <w:tcPr>
            <w:tcW w:w="840" w:type="dxa"/>
            <w:vAlign w:val="center"/>
          </w:tcPr>
          <w:p w14:paraId="6A8D12FA">
            <w:pPr>
              <w:widowControl w:val="0"/>
              <w:spacing w:line="240" w:lineRule="auto"/>
              <w:ind w:firstLine="0" w:firstLineChars="0"/>
              <w:jc w:val="both"/>
              <w:rPr>
                <w:rFonts w:hint="eastAsia" w:ascii="宋体" w:hAnsi="宋体"/>
                <w:b/>
                <w:highlight w:val="none"/>
                <w:lang w:eastAsia="zh-CN"/>
              </w:rPr>
            </w:pPr>
            <w:r>
              <w:rPr>
                <w:rFonts w:hint="eastAsia" w:ascii="宋体" w:hAnsi="宋体"/>
                <w:b/>
                <w:highlight w:val="none"/>
                <w:lang w:val="en-US" w:eastAsia="zh-CN"/>
              </w:rPr>
              <w:t>55</w:t>
            </w:r>
            <w:r>
              <w:rPr>
                <w:rFonts w:hint="eastAsia" w:ascii="宋体" w:hAnsi="宋体"/>
                <w:b/>
                <w:highlight w:val="none"/>
                <w:lang w:eastAsia="zh-CN"/>
              </w:rPr>
              <w:t>分</w:t>
            </w:r>
          </w:p>
        </w:tc>
        <w:tc>
          <w:tcPr>
            <w:tcW w:w="6072" w:type="dxa"/>
            <w:vAlign w:val="center"/>
          </w:tcPr>
          <w:p w14:paraId="411DFA94">
            <w:pPr>
              <w:widowControl w:val="0"/>
              <w:spacing w:line="240" w:lineRule="auto"/>
              <w:ind w:firstLine="0" w:firstLineChars="0"/>
              <w:jc w:val="both"/>
              <w:rPr>
                <w:rFonts w:hint="eastAsia" w:ascii="宋体" w:hAnsi="宋体"/>
                <w:b/>
                <w:highlight w:val="none"/>
                <w:lang w:eastAsia="zh-CN"/>
              </w:rPr>
            </w:pPr>
          </w:p>
        </w:tc>
      </w:tr>
    </w:tbl>
    <w:p w14:paraId="5AE24EDA">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highlight w:val="none"/>
          <w:lang w:val="en-US" w:eastAsia="zh-CN"/>
        </w:rPr>
      </w:pPr>
    </w:p>
    <w:p w14:paraId="11097535">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价格评审（价格得分满分为</w:t>
      </w:r>
      <w:r>
        <w:rPr>
          <w:rFonts w:hint="eastAsia" w:ascii="宋体" w:hAnsi="宋体" w:eastAsia="宋体" w:cs="宋体"/>
          <w:b/>
          <w:bCs/>
          <w:color w:val="auto"/>
          <w:sz w:val="21"/>
          <w:szCs w:val="21"/>
          <w:lang w:val="en-US" w:eastAsia="zh-CN"/>
        </w:rPr>
        <w:t>45</w:t>
      </w:r>
      <w:r>
        <w:rPr>
          <w:rFonts w:hint="eastAsia" w:ascii="宋体" w:hAnsi="宋体" w:eastAsia="宋体" w:cs="宋体"/>
          <w:b/>
          <w:bCs/>
          <w:color w:val="auto"/>
          <w:sz w:val="21"/>
          <w:szCs w:val="21"/>
        </w:rPr>
        <w:t>分）</w:t>
      </w:r>
    </w:p>
    <w:p w14:paraId="34F1D8B0">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评标基准价为满足采购文件要求且价格最低的投标报价。</w:t>
      </w:r>
    </w:p>
    <w:p w14:paraId="0E903070">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投标人价格得分＝（评标基准价／投标报价）×45分（保留小数点后2位，四舍五入）。</w:t>
      </w:r>
    </w:p>
    <w:p w14:paraId="240E4259">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64217969">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26211FBA">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34783B58">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067578A3">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269DFD27">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5702E8C0">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4957476D">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6D2D9C02">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6901839F">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58098498">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54A56849">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lang w:val="en-US" w:eastAsia="zh-CN"/>
        </w:rPr>
      </w:pPr>
    </w:p>
    <w:p w14:paraId="42F4B0B4">
      <w:pPr>
        <w:pStyle w:val="9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三、报价要求</w:t>
      </w:r>
    </w:p>
    <w:p w14:paraId="51B72505">
      <w:pPr>
        <w:pStyle w:val="90"/>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单位必须按要求完整填写相关附表，并签字盖章</w:t>
      </w:r>
    </w:p>
    <w:p w14:paraId="666A58C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1、该报价文件要求一正一副，封面应当注明项目名称、项目编号、供应商名称（加盖单位公章），电子文件1份，电子文档应为报价文件正本的扫描件（要求必须完整扫描正本内容），以</w:t>
      </w:r>
      <w:r>
        <w:rPr>
          <w:rFonts w:hint="eastAsia" w:asciiTheme="minorEastAsia" w:hAnsiTheme="minorEastAsia" w:eastAsiaTheme="minorEastAsia" w:cstheme="minorEastAsia"/>
          <w:b/>
          <w:bCs/>
          <w:color w:val="auto"/>
          <w:sz w:val="21"/>
          <w:szCs w:val="21"/>
          <w:highlight w:val="none"/>
        </w:rPr>
        <w:t>U盘或光盘</w:t>
      </w:r>
      <w:r>
        <w:rPr>
          <w:rFonts w:hint="eastAsia" w:asciiTheme="minorEastAsia" w:hAnsiTheme="minorEastAsia" w:eastAsiaTheme="minorEastAsia" w:cstheme="minorEastAsia"/>
          <w:color w:val="auto"/>
          <w:sz w:val="21"/>
          <w:szCs w:val="21"/>
          <w:highlight w:val="none"/>
        </w:rPr>
        <w:t>为介质（标明项目编号及供应商名称），不留密码，无病毒，不压缩。其内容应与供应商打印产生的纸质响应文件内容一致，如有不同，以纸质响应文件为准。密封递交。</w:t>
      </w:r>
    </w:p>
    <w:p w14:paraId="7F9A603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2、报价文件正本与副本可以单独密封包装，也可以所有询价文件密封包装在一个密封袋内。密封袋的封口处应粘贴处理。</w:t>
      </w:r>
    </w:p>
    <w:p w14:paraId="61DD8E4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3、密封外包装加盖供应商印章。</w:t>
      </w:r>
    </w:p>
    <w:p w14:paraId="260EF2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4、如果未按要求密封和标记，采购人对误投或提前启封概不负责。</w:t>
      </w:r>
    </w:p>
    <w:p w14:paraId="6CF69E19">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5、★供应商必须根据采购项目的技术参数按顺序逐条响应，否则经专家小组讨论后可作作废处理。</w:t>
      </w:r>
    </w:p>
    <w:p w14:paraId="5787C8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6、招标文件中凡有“★”标识的内容条款为关键条款，投标供应商必须对此作出回答并完全满足这些要求不可以出现任何负偏离，对这些关键条款的任何负偏离将视为无效投标。</w:t>
      </w:r>
    </w:p>
    <w:p w14:paraId="7E5B9551">
      <w:pPr>
        <w:pStyle w:val="90"/>
        <w:rPr>
          <w:rFonts w:hint="eastAsia" w:asciiTheme="minorEastAsia" w:hAnsiTheme="minorEastAsia" w:eastAsiaTheme="minorEastAsia" w:cstheme="minorEastAsia"/>
          <w:color w:val="auto"/>
          <w:sz w:val="21"/>
          <w:szCs w:val="21"/>
          <w:highlight w:val="none"/>
        </w:rPr>
      </w:pPr>
    </w:p>
    <w:p w14:paraId="071ADAD4">
      <w:pPr>
        <w:pStyle w:val="90"/>
        <w:rPr>
          <w:rFonts w:hint="eastAsia" w:asciiTheme="minorEastAsia" w:hAnsiTheme="minorEastAsia" w:eastAsiaTheme="minorEastAsia" w:cstheme="minorEastAsia"/>
          <w:color w:val="auto"/>
          <w:sz w:val="21"/>
          <w:szCs w:val="21"/>
          <w:highlight w:val="none"/>
        </w:rPr>
      </w:pPr>
    </w:p>
    <w:p w14:paraId="78A74404">
      <w:pPr>
        <w:pStyle w:val="90"/>
        <w:rPr>
          <w:rFonts w:hint="eastAsia" w:asciiTheme="minorEastAsia" w:hAnsiTheme="minorEastAsia" w:eastAsiaTheme="minorEastAsia" w:cstheme="minorEastAsia"/>
          <w:color w:val="auto"/>
          <w:sz w:val="21"/>
          <w:szCs w:val="21"/>
          <w:highlight w:val="none"/>
        </w:rPr>
      </w:pPr>
    </w:p>
    <w:p w14:paraId="61006F90">
      <w:pPr>
        <w:pStyle w:val="90"/>
        <w:rPr>
          <w:rFonts w:hint="eastAsia" w:asciiTheme="minorEastAsia" w:hAnsiTheme="minorEastAsia" w:eastAsiaTheme="minorEastAsia" w:cstheme="minorEastAsia"/>
          <w:color w:val="auto"/>
          <w:sz w:val="21"/>
          <w:szCs w:val="21"/>
          <w:highlight w:val="none"/>
        </w:rPr>
      </w:pPr>
    </w:p>
    <w:p w14:paraId="2456B0B8">
      <w:pPr>
        <w:pStyle w:val="90"/>
        <w:rPr>
          <w:rFonts w:hint="eastAsia" w:asciiTheme="minorEastAsia" w:hAnsiTheme="minorEastAsia" w:eastAsiaTheme="minorEastAsia" w:cstheme="minorEastAsia"/>
          <w:color w:val="auto"/>
          <w:sz w:val="21"/>
          <w:szCs w:val="21"/>
          <w:highlight w:val="none"/>
        </w:rPr>
      </w:pPr>
    </w:p>
    <w:p w14:paraId="4CCF8904">
      <w:pPr>
        <w:pStyle w:val="90"/>
        <w:rPr>
          <w:rFonts w:hint="eastAsia" w:asciiTheme="minorEastAsia" w:hAnsiTheme="minorEastAsia" w:eastAsiaTheme="minorEastAsia" w:cstheme="minorEastAsia"/>
          <w:color w:val="auto"/>
          <w:sz w:val="21"/>
          <w:szCs w:val="21"/>
          <w:highlight w:val="none"/>
        </w:rPr>
      </w:pPr>
    </w:p>
    <w:p w14:paraId="1935D7B0">
      <w:pPr>
        <w:pStyle w:val="90"/>
        <w:rPr>
          <w:rFonts w:hint="eastAsia" w:asciiTheme="minorEastAsia" w:hAnsiTheme="minorEastAsia" w:eastAsiaTheme="minorEastAsia" w:cstheme="minorEastAsia"/>
          <w:color w:val="auto"/>
          <w:sz w:val="21"/>
          <w:szCs w:val="21"/>
          <w:highlight w:val="none"/>
        </w:rPr>
      </w:pPr>
    </w:p>
    <w:p w14:paraId="0614FF4F">
      <w:pPr>
        <w:pStyle w:val="4"/>
        <w:spacing w:before="120" w:after="120"/>
        <w:jc w:val="both"/>
        <w:rPr>
          <w:rFonts w:hint="eastAsia" w:asciiTheme="minorEastAsia" w:hAnsiTheme="minorEastAsia" w:eastAsiaTheme="minorEastAsia" w:cstheme="minorEastAsia"/>
          <w:color w:val="auto"/>
          <w:sz w:val="21"/>
          <w:szCs w:val="21"/>
          <w:highlight w:val="none"/>
        </w:rPr>
      </w:pPr>
    </w:p>
    <w:p w14:paraId="7871A423">
      <w:pPr>
        <w:rPr>
          <w:rFonts w:hint="eastAsia" w:asciiTheme="minorEastAsia" w:hAnsiTheme="minorEastAsia" w:eastAsiaTheme="minorEastAsia" w:cstheme="minorEastAsia"/>
          <w:color w:val="auto"/>
          <w:sz w:val="21"/>
          <w:szCs w:val="21"/>
          <w:highlight w:val="none"/>
        </w:rPr>
      </w:pPr>
    </w:p>
    <w:p w14:paraId="10F6539C">
      <w:pPr>
        <w:rPr>
          <w:rFonts w:hint="eastAsia" w:asciiTheme="minorEastAsia" w:hAnsiTheme="minorEastAsia" w:eastAsiaTheme="minorEastAsia" w:cstheme="minorEastAsia"/>
          <w:color w:val="auto"/>
          <w:sz w:val="21"/>
          <w:szCs w:val="21"/>
          <w:highlight w:val="none"/>
        </w:rPr>
      </w:pPr>
    </w:p>
    <w:p w14:paraId="246A05A0">
      <w:pPr>
        <w:rPr>
          <w:rFonts w:hint="eastAsia" w:asciiTheme="minorEastAsia" w:hAnsiTheme="minorEastAsia" w:eastAsiaTheme="minorEastAsia" w:cstheme="minorEastAsia"/>
          <w:color w:val="auto"/>
          <w:sz w:val="21"/>
          <w:szCs w:val="21"/>
          <w:highlight w:val="none"/>
        </w:rPr>
      </w:pPr>
    </w:p>
    <w:p w14:paraId="30FFC8F6">
      <w:pPr>
        <w:rPr>
          <w:rFonts w:hint="eastAsia" w:asciiTheme="minorEastAsia" w:hAnsiTheme="minorEastAsia" w:eastAsiaTheme="minorEastAsia" w:cstheme="minorEastAsia"/>
          <w:color w:val="auto"/>
          <w:sz w:val="21"/>
          <w:szCs w:val="21"/>
          <w:highlight w:val="none"/>
        </w:rPr>
      </w:pPr>
    </w:p>
    <w:p w14:paraId="4B76B8E2">
      <w:pPr>
        <w:rPr>
          <w:rFonts w:hint="eastAsia" w:asciiTheme="minorEastAsia" w:hAnsiTheme="minorEastAsia" w:eastAsiaTheme="minorEastAsia" w:cstheme="minorEastAsia"/>
          <w:color w:val="auto"/>
          <w:sz w:val="21"/>
          <w:szCs w:val="21"/>
          <w:highlight w:val="none"/>
        </w:rPr>
      </w:pPr>
    </w:p>
    <w:p w14:paraId="68979A0C">
      <w:pPr>
        <w:rPr>
          <w:rFonts w:hint="eastAsia" w:asciiTheme="minorEastAsia" w:hAnsiTheme="minorEastAsia" w:eastAsiaTheme="minorEastAsia" w:cstheme="minorEastAsia"/>
          <w:color w:val="auto"/>
          <w:sz w:val="21"/>
          <w:szCs w:val="21"/>
          <w:highlight w:val="none"/>
        </w:rPr>
      </w:pPr>
    </w:p>
    <w:p w14:paraId="477548CE">
      <w:pPr>
        <w:rPr>
          <w:rFonts w:hint="eastAsia" w:asciiTheme="minorEastAsia" w:hAnsiTheme="minorEastAsia" w:eastAsiaTheme="minorEastAsia" w:cstheme="minorEastAsia"/>
          <w:color w:val="auto"/>
          <w:sz w:val="21"/>
          <w:szCs w:val="21"/>
          <w:highlight w:val="none"/>
        </w:rPr>
      </w:pPr>
    </w:p>
    <w:p w14:paraId="2A93C001">
      <w:pPr>
        <w:rPr>
          <w:rFonts w:hint="eastAsia" w:asciiTheme="minorEastAsia" w:hAnsiTheme="minorEastAsia" w:eastAsiaTheme="minorEastAsia" w:cstheme="minorEastAsia"/>
          <w:color w:val="auto"/>
          <w:sz w:val="21"/>
          <w:szCs w:val="21"/>
          <w:highlight w:val="none"/>
        </w:rPr>
      </w:pPr>
    </w:p>
    <w:p w14:paraId="21FB6889">
      <w:pPr>
        <w:rPr>
          <w:rFonts w:hint="eastAsia" w:asciiTheme="minorEastAsia" w:hAnsiTheme="minorEastAsia" w:eastAsiaTheme="minorEastAsia" w:cstheme="minorEastAsia"/>
          <w:color w:val="auto"/>
          <w:sz w:val="21"/>
          <w:szCs w:val="21"/>
          <w:highlight w:val="none"/>
        </w:rPr>
      </w:pPr>
    </w:p>
    <w:p w14:paraId="2A270415">
      <w:pPr>
        <w:pStyle w:val="4"/>
        <w:spacing w:before="120" w:after="120"/>
        <w:jc w:val="both"/>
        <w:rPr>
          <w:rFonts w:hint="eastAsia" w:asciiTheme="minorEastAsia" w:hAnsiTheme="minorEastAsia" w:eastAsiaTheme="minorEastAsia" w:cstheme="minorEastAsia"/>
          <w:color w:val="auto"/>
          <w:sz w:val="32"/>
          <w:szCs w:val="32"/>
          <w:highlight w:val="none"/>
        </w:rPr>
      </w:pPr>
    </w:p>
    <w:p w14:paraId="0B48F0EA">
      <w:pPr>
        <w:rPr>
          <w:rFonts w:hint="eastAsia" w:asciiTheme="minorEastAsia" w:hAnsiTheme="minorEastAsia" w:eastAsiaTheme="minorEastAsia" w:cstheme="minorEastAsia"/>
          <w:color w:val="auto"/>
          <w:sz w:val="32"/>
          <w:szCs w:val="32"/>
          <w:highlight w:val="none"/>
        </w:rPr>
      </w:pPr>
    </w:p>
    <w:p w14:paraId="00072AC0">
      <w:pPr>
        <w:rPr>
          <w:rFonts w:hint="eastAsia" w:asciiTheme="minorEastAsia" w:hAnsiTheme="minorEastAsia" w:eastAsiaTheme="minorEastAsia" w:cstheme="minorEastAsia"/>
          <w:color w:val="auto"/>
          <w:sz w:val="32"/>
          <w:szCs w:val="32"/>
          <w:highlight w:val="none"/>
        </w:rPr>
      </w:pPr>
    </w:p>
    <w:p w14:paraId="35F26568">
      <w:pPr>
        <w:pStyle w:val="4"/>
        <w:spacing w:before="120" w:after="12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表1  报价函</w:t>
      </w:r>
    </w:p>
    <w:p w14:paraId="224C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致：中山市古镇人民医院</w:t>
      </w:r>
    </w:p>
    <w:p w14:paraId="34F00E6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根据贵方的</w:t>
      </w:r>
      <w:r>
        <w:rPr>
          <w:rFonts w:hint="eastAsia" w:asciiTheme="minorEastAsia" w:hAnsiTheme="minorEastAsia" w:eastAsiaTheme="minorEastAsia" w:cstheme="minorEastAsia"/>
          <w:bCs/>
          <w:color w:val="auto"/>
          <w:kern w:val="28"/>
          <w:sz w:val="21"/>
          <w:szCs w:val="21"/>
          <w:highlight w:val="none"/>
          <w:lang w:eastAsia="zh-CN"/>
        </w:rPr>
        <w:t>中山市古镇人民医院PACS扩容网络存储设备项目</w:t>
      </w:r>
      <w:r>
        <w:rPr>
          <w:rFonts w:hint="eastAsia" w:asciiTheme="minorEastAsia" w:hAnsiTheme="minorEastAsia" w:eastAsiaTheme="minorEastAsia" w:cstheme="minorEastAsia"/>
          <w:bCs/>
          <w:color w:val="auto"/>
          <w:kern w:val="28"/>
          <w:sz w:val="21"/>
          <w:szCs w:val="21"/>
          <w:highlight w:val="none"/>
        </w:rPr>
        <w:t>进行</w:t>
      </w:r>
      <w:r>
        <w:rPr>
          <w:rFonts w:hint="eastAsia" w:asciiTheme="minorEastAsia" w:hAnsiTheme="minorEastAsia" w:eastAsiaTheme="minorEastAsia" w:cstheme="minorEastAsia"/>
          <w:bCs/>
          <w:color w:val="auto"/>
          <w:sz w:val="21"/>
          <w:szCs w:val="21"/>
          <w:highlight w:val="none"/>
        </w:rPr>
        <w:t>采购</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报</w:t>
      </w:r>
      <w:r>
        <w:rPr>
          <w:rFonts w:hint="eastAsia" w:asciiTheme="minorEastAsia" w:hAnsiTheme="minorEastAsia" w:eastAsiaTheme="minorEastAsia" w:cstheme="minorEastAsia"/>
          <w:color w:val="auto"/>
          <w:sz w:val="21"/>
          <w:szCs w:val="21"/>
          <w:highlight w:val="none"/>
        </w:rPr>
        <w:t xml:space="preserve">价邀请函，签字代表  </w:t>
      </w:r>
      <w:r>
        <w:rPr>
          <w:rFonts w:hint="eastAsia" w:asciiTheme="minorEastAsia" w:hAnsiTheme="minorEastAsia" w:eastAsiaTheme="minorEastAsia" w:cstheme="minorEastAsia"/>
          <w:color w:val="auto"/>
          <w:sz w:val="21"/>
          <w:szCs w:val="21"/>
          <w:highlight w:val="none"/>
          <w:u w:val="single"/>
        </w:rPr>
        <w:t xml:space="preserve">       （姓名、职务）        </w:t>
      </w:r>
      <w:r>
        <w:rPr>
          <w:rFonts w:hint="eastAsia" w:asciiTheme="minorEastAsia" w:hAnsiTheme="minorEastAsia" w:eastAsiaTheme="minorEastAsia" w:cstheme="minorEastAsia"/>
          <w:color w:val="auto"/>
          <w:sz w:val="21"/>
          <w:szCs w:val="21"/>
          <w:highlight w:val="none"/>
        </w:rPr>
        <w:t xml:space="preserve"> 代表报价人</w:t>
      </w:r>
      <w:r>
        <w:rPr>
          <w:rFonts w:hint="eastAsia" w:asciiTheme="minorEastAsia" w:hAnsiTheme="minorEastAsia" w:eastAsiaTheme="minorEastAsia" w:cstheme="minorEastAsia"/>
          <w:color w:val="auto"/>
          <w:sz w:val="21"/>
          <w:szCs w:val="21"/>
          <w:highlight w:val="none"/>
          <w:u w:val="single"/>
        </w:rPr>
        <w:t xml:space="preserve">    （报价单位名称）       </w:t>
      </w:r>
      <w:r>
        <w:rPr>
          <w:rFonts w:hint="eastAsia" w:asciiTheme="minorEastAsia" w:hAnsiTheme="minorEastAsia" w:eastAsiaTheme="minorEastAsia" w:cstheme="minorEastAsia"/>
          <w:color w:val="auto"/>
          <w:sz w:val="21"/>
          <w:szCs w:val="21"/>
          <w:highlight w:val="none"/>
        </w:rPr>
        <w:t>参加报价，并提交报价文件。</w:t>
      </w:r>
    </w:p>
    <w:p w14:paraId="1AA9D474">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据此函，本人宣布同意如下：</w:t>
      </w:r>
    </w:p>
    <w:p w14:paraId="455E821C">
      <w:pPr>
        <w:keepNext w:val="0"/>
        <w:keepLines w:val="0"/>
        <w:pageBreakBefore w:val="0"/>
        <w:widowControl/>
        <w:numPr>
          <w:ilvl w:val="0"/>
          <w:numId w:val="9"/>
        </w:numPr>
        <w:kinsoku/>
        <w:wordWrap/>
        <w:overflowPunct/>
        <w:topLinePunct w:val="0"/>
        <w:autoSpaceDE/>
        <w:autoSpaceDN/>
        <w:bidi w:val="0"/>
        <w:adjustRightInd/>
        <w:snapToGrid/>
        <w:spacing w:line="360" w:lineRule="auto"/>
        <w:ind w:left="426"/>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所附“报价一览表”规定的应提供和交付的货物、服务和工程报价</w:t>
      </w:r>
      <w:r>
        <w:rPr>
          <w:rFonts w:hint="eastAsia" w:asciiTheme="minorEastAsia" w:hAnsiTheme="minorEastAsia" w:eastAsiaTheme="minorEastAsia" w:cstheme="minorEastAsia"/>
          <w:b w:val="0"/>
          <w:bCs w:val="0"/>
          <w:color w:val="auto"/>
          <w:sz w:val="21"/>
          <w:szCs w:val="21"/>
          <w:highlight w:val="none"/>
          <w:lang w:val="en-US" w:eastAsia="zh-CN"/>
        </w:rPr>
        <w:t>总价为：</w:t>
      </w:r>
    </w:p>
    <w:p w14:paraId="16D0F071">
      <w:pPr>
        <w:keepNext w:val="0"/>
        <w:keepLines w:val="0"/>
        <w:pageBreakBefore w:val="0"/>
        <w:widowControl/>
        <w:kinsoku/>
        <w:wordWrap/>
        <w:overflowPunct/>
        <w:topLinePunct w:val="0"/>
        <w:autoSpaceDE/>
        <w:autoSpaceDN/>
        <w:bidi w:val="0"/>
        <w:adjustRightInd/>
        <w:snapToGrid/>
        <w:spacing w:before="120" w:beforeLines="50" w:line="360" w:lineRule="auto"/>
        <w:ind w:left="42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（大写），</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sz w:val="21"/>
          <w:szCs w:val="21"/>
          <w:highlight w:val="none"/>
        </w:rPr>
        <w:t>小写）。</w:t>
      </w:r>
    </w:p>
    <w:p w14:paraId="59AC43C3">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642B5055">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报价人代表姓名、职务（印刷体）：</w:t>
      </w:r>
    </w:p>
    <w:p w14:paraId="2A80B34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p>
    <w:p w14:paraId="158BB6E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法定代表人签字（或其委托的全权代表人）：                    </w:t>
      </w:r>
    </w:p>
    <w:p w14:paraId="1B76E80F">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注：法定代表人委托全权代表人，需附法定代表人授权书。</w:t>
      </w:r>
    </w:p>
    <w:p w14:paraId="6F93B9F6">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w:t>
      </w:r>
    </w:p>
    <w:p w14:paraId="2A4C1C44">
      <w:pPr>
        <w:spacing w:line="360" w:lineRule="auto"/>
        <w:rPr>
          <w:rFonts w:hint="eastAsia" w:asciiTheme="minorEastAsia" w:hAnsiTheme="minorEastAsia" w:eastAsiaTheme="minorEastAsia" w:cstheme="minorEastAsia"/>
          <w:color w:val="auto"/>
          <w:sz w:val="21"/>
          <w:szCs w:val="21"/>
          <w:highlight w:val="none"/>
        </w:rPr>
      </w:pPr>
    </w:p>
    <w:p w14:paraId="2ACD9D9B">
      <w:pPr>
        <w:spacing w:line="360" w:lineRule="auto"/>
        <w:rPr>
          <w:rFonts w:hint="eastAsia" w:asciiTheme="minorEastAsia" w:hAnsiTheme="minorEastAsia" w:eastAsiaTheme="minorEastAsia" w:cstheme="minorEastAsia"/>
          <w:color w:val="auto"/>
          <w:sz w:val="21"/>
          <w:szCs w:val="21"/>
          <w:highlight w:val="none"/>
        </w:rPr>
      </w:pPr>
    </w:p>
    <w:p w14:paraId="2A365831">
      <w:pPr>
        <w:spacing w:line="360" w:lineRule="auto"/>
        <w:ind w:firstLine="6510" w:firstLineChars="3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年   月    日</w:t>
      </w:r>
    </w:p>
    <w:p w14:paraId="4D43EC81">
      <w:pPr>
        <w:spacing w:line="360" w:lineRule="auto"/>
        <w:rPr>
          <w:rFonts w:hint="eastAsia" w:asciiTheme="minorEastAsia" w:hAnsiTheme="minorEastAsia" w:eastAsiaTheme="minorEastAsia" w:cstheme="minorEastAsia"/>
          <w:color w:val="auto"/>
          <w:sz w:val="21"/>
          <w:szCs w:val="21"/>
          <w:highlight w:val="none"/>
        </w:rPr>
      </w:pPr>
    </w:p>
    <w:p w14:paraId="078DF4AF">
      <w:pPr>
        <w:spacing w:line="360" w:lineRule="auto"/>
        <w:rPr>
          <w:rFonts w:hint="eastAsia" w:asciiTheme="minorEastAsia" w:hAnsiTheme="minorEastAsia" w:eastAsiaTheme="minorEastAsia" w:cstheme="minorEastAsia"/>
          <w:color w:val="auto"/>
          <w:sz w:val="21"/>
          <w:szCs w:val="21"/>
          <w:highlight w:val="none"/>
        </w:rPr>
      </w:pPr>
    </w:p>
    <w:p w14:paraId="628B8223">
      <w:pPr>
        <w:spacing w:line="360" w:lineRule="auto"/>
        <w:rPr>
          <w:rFonts w:hint="eastAsia" w:asciiTheme="minorEastAsia" w:hAnsiTheme="minorEastAsia" w:eastAsiaTheme="minorEastAsia" w:cstheme="minorEastAsia"/>
          <w:color w:val="auto"/>
          <w:sz w:val="21"/>
          <w:szCs w:val="21"/>
          <w:highlight w:val="none"/>
        </w:rPr>
      </w:pPr>
    </w:p>
    <w:p w14:paraId="49584560">
      <w:pPr>
        <w:spacing w:line="360" w:lineRule="auto"/>
        <w:rPr>
          <w:rFonts w:hint="eastAsia" w:asciiTheme="minorEastAsia" w:hAnsiTheme="minorEastAsia" w:eastAsiaTheme="minorEastAsia" w:cstheme="minorEastAsia"/>
          <w:color w:val="auto"/>
          <w:sz w:val="21"/>
          <w:szCs w:val="21"/>
          <w:highlight w:val="none"/>
        </w:rPr>
      </w:pPr>
    </w:p>
    <w:p w14:paraId="4B53F332">
      <w:pPr>
        <w:spacing w:line="360" w:lineRule="auto"/>
        <w:rPr>
          <w:rFonts w:hint="eastAsia" w:asciiTheme="minorEastAsia" w:hAnsiTheme="minorEastAsia" w:eastAsiaTheme="minorEastAsia" w:cstheme="minorEastAsia"/>
          <w:color w:val="auto"/>
          <w:sz w:val="21"/>
          <w:szCs w:val="21"/>
          <w:highlight w:val="none"/>
        </w:rPr>
      </w:pPr>
    </w:p>
    <w:p w14:paraId="3B17107E">
      <w:pPr>
        <w:spacing w:line="360" w:lineRule="auto"/>
        <w:rPr>
          <w:rFonts w:hint="eastAsia" w:asciiTheme="minorEastAsia" w:hAnsiTheme="minorEastAsia" w:eastAsiaTheme="minorEastAsia" w:cstheme="minorEastAsia"/>
          <w:color w:val="auto"/>
          <w:sz w:val="21"/>
          <w:szCs w:val="21"/>
          <w:highlight w:val="none"/>
        </w:rPr>
      </w:pPr>
    </w:p>
    <w:p w14:paraId="23E1D66B">
      <w:pPr>
        <w:spacing w:line="360" w:lineRule="auto"/>
        <w:rPr>
          <w:rFonts w:hint="eastAsia" w:asciiTheme="minorEastAsia" w:hAnsiTheme="minorEastAsia" w:eastAsiaTheme="minorEastAsia" w:cstheme="minorEastAsia"/>
          <w:color w:val="auto"/>
          <w:sz w:val="21"/>
          <w:szCs w:val="21"/>
          <w:highlight w:val="none"/>
        </w:rPr>
      </w:pPr>
    </w:p>
    <w:p w14:paraId="6B8711D4">
      <w:pPr>
        <w:spacing w:line="360" w:lineRule="auto"/>
        <w:rPr>
          <w:rFonts w:hint="eastAsia" w:asciiTheme="minorEastAsia" w:hAnsiTheme="minorEastAsia" w:eastAsiaTheme="minorEastAsia" w:cstheme="minorEastAsia"/>
          <w:color w:val="auto"/>
          <w:sz w:val="21"/>
          <w:szCs w:val="21"/>
          <w:highlight w:val="none"/>
        </w:rPr>
      </w:pPr>
    </w:p>
    <w:p w14:paraId="1EE3156A">
      <w:pPr>
        <w:spacing w:line="360" w:lineRule="auto"/>
        <w:rPr>
          <w:rFonts w:hint="eastAsia" w:asciiTheme="minorEastAsia" w:hAnsiTheme="minorEastAsia" w:eastAsiaTheme="minorEastAsia" w:cstheme="minorEastAsia"/>
          <w:color w:val="auto"/>
          <w:sz w:val="21"/>
          <w:szCs w:val="21"/>
          <w:highlight w:val="none"/>
        </w:rPr>
      </w:pPr>
    </w:p>
    <w:p w14:paraId="17DC0AF6">
      <w:pPr>
        <w:spacing w:line="360" w:lineRule="auto"/>
        <w:rPr>
          <w:rFonts w:hint="eastAsia" w:asciiTheme="minorEastAsia" w:hAnsiTheme="minorEastAsia" w:eastAsiaTheme="minorEastAsia" w:cstheme="minorEastAsia"/>
          <w:color w:val="auto"/>
          <w:sz w:val="21"/>
          <w:szCs w:val="21"/>
          <w:highlight w:val="none"/>
        </w:rPr>
      </w:pPr>
    </w:p>
    <w:p w14:paraId="53E873CE">
      <w:pPr>
        <w:spacing w:line="360" w:lineRule="auto"/>
        <w:rPr>
          <w:rFonts w:hint="eastAsia" w:asciiTheme="minorEastAsia" w:hAnsiTheme="minorEastAsia" w:eastAsiaTheme="minorEastAsia" w:cstheme="minorEastAsia"/>
          <w:color w:val="auto"/>
          <w:sz w:val="21"/>
          <w:szCs w:val="21"/>
          <w:highlight w:val="none"/>
        </w:rPr>
      </w:pPr>
    </w:p>
    <w:p w14:paraId="54AC05CC">
      <w:pPr>
        <w:spacing w:line="360" w:lineRule="auto"/>
        <w:rPr>
          <w:rFonts w:hint="eastAsia" w:asciiTheme="minorEastAsia" w:hAnsiTheme="minorEastAsia" w:eastAsiaTheme="minorEastAsia" w:cstheme="minorEastAsia"/>
          <w:color w:val="auto"/>
          <w:sz w:val="21"/>
          <w:szCs w:val="21"/>
          <w:highlight w:val="none"/>
        </w:rPr>
      </w:pPr>
    </w:p>
    <w:p w14:paraId="38009892">
      <w:pPr>
        <w:pStyle w:val="4"/>
        <w:spacing w:before="120" w:after="120"/>
        <w:jc w:val="both"/>
        <w:rPr>
          <w:rFonts w:hint="eastAsia" w:asciiTheme="minorEastAsia" w:hAnsiTheme="minorEastAsia" w:eastAsiaTheme="minorEastAsia" w:cstheme="minorEastAsia"/>
          <w:color w:val="auto"/>
          <w:sz w:val="21"/>
          <w:szCs w:val="21"/>
          <w:highlight w:val="none"/>
        </w:rPr>
      </w:pPr>
    </w:p>
    <w:p w14:paraId="4DF0AE44">
      <w:pPr>
        <w:pStyle w:val="6"/>
        <w:rPr>
          <w:rFonts w:hint="eastAsia" w:asciiTheme="minorEastAsia" w:hAnsiTheme="minorEastAsia" w:eastAsiaTheme="minorEastAsia" w:cstheme="minorEastAsia"/>
          <w:color w:val="auto"/>
          <w:sz w:val="21"/>
          <w:szCs w:val="21"/>
          <w:highlight w:val="none"/>
        </w:rPr>
      </w:pPr>
    </w:p>
    <w:p w14:paraId="5B2F99FA">
      <w:pPr>
        <w:pStyle w:val="6"/>
        <w:rPr>
          <w:rFonts w:hint="eastAsia" w:asciiTheme="minorEastAsia" w:hAnsiTheme="minorEastAsia" w:eastAsiaTheme="minorEastAsia" w:cstheme="minorEastAsia"/>
          <w:color w:val="auto"/>
          <w:sz w:val="21"/>
          <w:szCs w:val="21"/>
          <w:highlight w:val="none"/>
        </w:rPr>
      </w:pPr>
    </w:p>
    <w:p w14:paraId="69ECBA59">
      <w:pPr>
        <w:pStyle w:val="6"/>
        <w:ind w:left="0" w:leftChars="0" w:firstLine="0" w:firstLineChars="0"/>
        <w:rPr>
          <w:rFonts w:hint="eastAsia" w:asciiTheme="minorEastAsia" w:hAnsiTheme="minorEastAsia" w:eastAsiaTheme="minorEastAsia" w:cstheme="minorEastAsia"/>
          <w:color w:val="auto"/>
          <w:sz w:val="21"/>
          <w:szCs w:val="21"/>
          <w:highlight w:val="none"/>
        </w:rPr>
      </w:pPr>
    </w:p>
    <w:p w14:paraId="42E11C24">
      <w:pPr>
        <w:pStyle w:val="6"/>
        <w:rPr>
          <w:rFonts w:hint="eastAsia" w:asciiTheme="minorEastAsia" w:hAnsiTheme="minorEastAsia" w:eastAsiaTheme="minorEastAsia" w:cstheme="minorEastAsia"/>
          <w:color w:val="auto"/>
          <w:sz w:val="21"/>
          <w:szCs w:val="21"/>
          <w:highlight w:val="none"/>
        </w:rPr>
      </w:pPr>
    </w:p>
    <w:p w14:paraId="1712D9D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 xml:space="preserve">表2  </w:t>
      </w:r>
      <w:bookmarkStart w:id="4" w:name="_Toc479950108"/>
      <w:r>
        <w:rPr>
          <w:rFonts w:hint="eastAsia" w:asciiTheme="minorEastAsia" w:hAnsiTheme="minorEastAsia" w:eastAsiaTheme="minorEastAsia" w:cstheme="minorEastAsia"/>
          <w:b/>
          <w:bCs/>
          <w:color w:val="auto"/>
          <w:sz w:val="32"/>
          <w:szCs w:val="32"/>
          <w:highlight w:val="none"/>
        </w:rPr>
        <w:t>法定代表人授权委托书</w:t>
      </w:r>
      <w:bookmarkEnd w:id="4"/>
    </w:p>
    <w:p w14:paraId="3021D82C">
      <w:pPr>
        <w:rPr>
          <w:rFonts w:hint="eastAsia" w:asciiTheme="minorEastAsia" w:hAnsiTheme="minorEastAsia" w:eastAsiaTheme="minorEastAsia" w:cstheme="minorEastAsia"/>
          <w:color w:val="auto"/>
          <w:sz w:val="21"/>
          <w:szCs w:val="21"/>
          <w:highlight w:val="none"/>
        </w:rPr>
      </w:pPr>
    </w:p>
    <w:p w14:paraId="5DA74CD0">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50C5AFA1">
      <w:pPr>
        <w:spacing w:line="360" w:lineRule="auto"/>
        <w:rPr>
          <w:rFonts w:hint="eastAsia" w:asciiTheme="minorEastAsia" w:hAnsiTheme="minorEastAsia" w:eastAsiaTheme="minorEastAsia" w:cstheme="minorEastAsia"/>
          <w:color w:val="auto"/>
          <w:sz w:val="21"/>
          <w:szCs w:val="21"/>
          <w:highlight w:val="none"/>
        </w:rPr>
      </w:pPr>
    </w:p>
    <w:p w14:paraId="6109F69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兹授权以下同志（见身份证复印件），为我方参与（</w:t>
      </w:r>
      <w:r>
        <w:rPr>
          <w:rFonts w:hint="eastAsia" w:asciiTheme="minorEastAsia" w:hAnsiTheme="minorEastAsia" w:eastAsiaTheme="minorEastAsia" w:cstheme="minorEastAsia"/>
          <w:color w:val="auto"/>
          <w:sz w:val="21"/>
          <w:szCs w:val="21"/>
          <w:highlight w:val="none"/>
          <w:u w:val="single"/>
        </w:rPr>
        <w:t>项目名称）</w:t>
      </w:r>
      <w:r>
        <w:rPr>
          <w:rFonts w:hint="eastAsia" w:asciiTheme="minorEastAsia" w:hAnsiTheme="minorEastAsia" w:eastAsiaTheme="minorEastAsia" w:cstheme="minorEastAsia"/>
          <w:color w:val="auto"/>
          <w:sz w:val="21"/>
          <w:szCs w:val="21"/>
          <w:highlight w:val="none"/>
        </w:rPr>
        <w:t>采购项目事务代理人，其权限是：</w:t>
      </w:r>
      <w:r>
        <w:rPr>
          <w:rFonts w:hint="eastAsia" w:asciiTheme="minorEastAsia" w:hAnsiTheme="minorEastAsia" w:eastAsiaTheme="minorEastAsia" w:cstheme="minorEastAsia"/>
          <w:color w:val="auto"/>
          <w:sz w:val="21"/>
          <w:szCs w:val="21"/>
          <w:highlight w:val="none"/>
          <w:u w:val="single"/>
        </w:rPr>
        <w:t xml:space="preserve">   全权代表本公司参与上述采购项目的采购工作，负责提供与签署确认一切文书资料，以及向贵方递交的任何补充承诺 。</w:t>
      </w:r>
    </w:p>
    <w:p w14:paraId="2B295E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74FB6D9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授权单位：                            （盖章）     法定代表人：              （签名或盖私章）</w:t>
      </w:r>
    </w:p>
    <w:p w14:paraId="6104634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有效期限：至        年       月      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签发日期：</w:t>
      </w:r>
    </w:p>
    <w:p w14:paraId="64866F5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33E6FC9C">
      <w:pPr>
        <w:keepNext w:val="0"/>
        <w:keepLines w:val="0"/>
        <w:pageBreakBefore w:val="0"/>
        <w:widowControl/>
        <w:kinsoku/>
        <w:wordWrap/>
        <w:overflowPunct/>
        <w:topLinePunct w:val="0"/>
        <w:autoSpaceDE/>
        <w:autoSpaceDN/>
        <w:bidi w:val="0"/>
        <w:adjustRightInd/>
        <w:snapToGrid/>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附：代理人姓名：         性别：      年龄：      身份证号码：</w:t>
      </w:r>
    </w:p>
    <w:p w14:paraId="73061D23">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1DC0D585">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FDE9842">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0C73AF8B">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51276E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说明：1.法定代表人为企业事业单位、国家机关、社会团体的主要行政负责人。</w:t>
      </w:r>
    </w:p>
    <w:p w14:paraId="3C92006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2.内容必须填写真实、清楚、涂改无效，不得转让、买卖。</w:t>
      </w:r>
    </w:p>
    <w:p w14:paraId="520A4866">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r>
        <w:rPr>
          <w:rFonts w:hint="eastAsia" w:asciiTheme="minorEastAsia" w:hAnsiTheme="minorEastAsia" w:eastAsiaTheme="minorEastAsia" w:cstheme="minorEastAsia"/>
          <w:b/>
          <w:color w:val="auto"/>
          <w:sz w:val="21"/>
          <w:szCs w:val="21"/>
          <w:highlight w:val="none"/>
        </w:rPr>
        <w:t>。</w:t>
      </w:r>
    </w:p>
    <w:p w14:paraId="6C53C280">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4.授权权限：全权代表本公司参与上述采购项目的投标，负责提供与签署确认一切文书资料，以及向贵方递交的任何补充承诺。</w:t>
      </w:r>
    </w:p>
    <w:p w14:paraId="2EFEA551">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5.有效期限：与本公司响应文件中标注的投标有效期相同，自本单位盖公章之日起生效。</w:t>
      </w:r>
    </w:p>
    <w:p w14:paraId="1E4AF7FC">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6.投标签字代表为法定代表人，则本表不适用。</w:t>
      </w:r>
    </w:p>
    <w:p w14:paraId="738F306F">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7.身份证复印件（或扫描件）必须清晰可见。</w:t>
      </w:r>
    </w:p>
    <w:p w14:paraId="053449EC">
      <w:pPr>
        <w:spacing w:line="460" w:lineRule="exact"/>
        <w:rPr>
          <w:rFonts w:hint="eastAsia" w:asciiTheme="minorEastAsia" w:hAnsiTheme="minorEastAsia" w:eastAsiaTheme="minorEastAsia" w:cstheme="minorEastAsia"/>
          <w:b/>
          <w:color w:val="auto"/>
          <w:sz w:val="21"/>
          <w:szCs w:val="21"/>
          <w:highlight w:val="none"/>
        </w:rPr>
      </w:pPr>
    </w:p>
    <w:p w14:paraId="493E707E">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2879725</wp:posOffset>
                </wp:positionH>
                <wp:positionV relativeFrom="paragraph">
                  <wp:posOffset>14605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wps:txbx>
                      <wps:bodyPr upright="1"/>
                    </wps:wsp>
                  </a:graphicData>
                </a:graphic>
              </wp:anchor>
            </w:drawing>
          </mc:Choice>
          <mc:Fallback>
            <w:pict>
              <v:shape id="_x0000_s1026" o:spid="_x0000_s1026" o:spt="176" type="#_x0000_t176" style="position:absolute;left:0pt;margin-left:226.75pt;margin-top:1.15pt;height:124.75pt;width:183.75pt;z-index:251660288;mso-width-relative:page;mso-height-relative:page;" fillcolor="#FFFFFF" filled="t" stroked="t" coordsize="21600,21600" o:gfxdata="UEsDBAoAAAAAAIdO4kAAAAAAAAAAAAAAAAAEAAAAZHJzL1BLAwQUAAAACACHTuJAGOKdmdYAAAAJ&#10;AQAADwAAAGRycy9kb3ducmV2LnhtbE2PQU+EMBSE7yb+h+aZeHNLQVZEysZo9ORF3MRroZUS6Suh&#10;hUV/vc+THiczmfmmOmxuZKuZw+BRgtglwAx2Xg/YSzi+PV0VwEJUqNXo0Uj4MgEO9flZpUrtT/hq&#10;1ib2jEowlEqCjXEqOQ+dNU6FnZ8MkvfhZ6ciybnnelYnKncjT5Nkz50akBasmsyDNd1nszgJ28t3&#10;e7s8i66JttjfvGfr4/2RS3l5IZI7YNFs8S8Mv/iEDjUxtX5BHdgo4TrPcopKSDNg5BepoG8t6VwU&#10;wOuK/39Q/wBQSwMEFAAAAAgAh07iQCy3DNsoAgAAUAQAAA4AAABkcnMvZTJvRG9jLnhtbK1US44T&#10;MRDdI3EHy3vS+ZBoaKUzQhPCBkGkgQNU3O5uS/7JdtKdHawQYsEBuAA7VmzhNMPnFpTdIfOBRRZ4&#10;4a6yXc+vXpV7ft4pSXbceWF0QUeDISVcM1MKXRf01cvVgzNKfABdgjSaF3TPPT1f3L83b23Ox6Yx&#10;suSOIIj2eWsL2oRg8yzzrOEK/MBYrnGzMk5BQNfVWemgRXQls/FwOMta40rrDOPe4+qy36QHRHcK&#10;oKkqwfjSsK3iOvSojksImJJvhPV0kdhWFWfhRVV5HogsKGYa0oyXoL2Jc7aYQ147sI1gBwpwCoU7&#10;OSkQGi89Qi0hANk68ReUEswZb6owYEZlfSJJEcxiNLyjzWUDlqdcUGpvj6L7/wfLnu/WjoiyoDNK&#10;NCgs+Pcvb358en/18WtOrj58/vX63c9vb3GBzKJYrfU5xlzatTt4Hs2YeVc5Fb+YE+mSwPujwLwL&#10;hOHieDKZzMZTShjujaZnDyfoIE52HW6dD0+5USQaBa2kaS8acOGxDNxpCHzdt05SG3bPfOjj/8RF&#10;Ct5IUa6ElMlx9eZCOrIDbIFVGocrbx2TmrQFfTRN7AD7usJ+QqLKojZe1+m+WxH+JvAwjX8BR2JL&#10;8E1PICHEY5ArgRklq+FQPtElCXuL+mt8djSSUbykRHJ8pdFKJwMIecpJFFRq1DWWqy9QtEK36RAm&#10;mhtT7rHwW+tE3aDOo0Q97mCjpYIcHkXs5Jt+Ar3+E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inZnWAAAACQEAAA8AAAAAAAAAAQAgAAAAIgAAAGRycy9kb3ducmV2LnhtbFBLAQIUABQAAAAI&#10;AIdO4kAstwzbKAIAAFAEAAAOAAAAAAAAAAEAIAAAACUBAABkcnMvZTJvRG9jLnhtbFBLBQYAAAAA&#10;BgAGAFkBAAC/BQAAAAA=&#10;">
                <v:fill on="t" focussize="0,0"/>
                <v:stroke color="#000000" joinstyle="miter"/>
                <v:imagedata o:title=""/>
                <o:lock v:ext="edit" aspectratio="f"/>
                <v:textbo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28575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wps:txbx>
                      <wps:bodyPr upright="1"/>
                    </wps:wsp>
                  </a:graphicData>
                </a:graphic>
              </wp:anchor>
            </w:drawing>
          </mc:Choice>
          <mc:Fallback>
            <w:pict>
              <v:shape id="_x0000_s1026" o:spid="_x0000_s1026" o:spt="176" type="#_x0000_t176" style="position:absolute;left:0pt;margin-left:-17.8pt;margin-top:2.25pt;height:124.75pt;width:183.75pt;z-index:251659264;mso-width-relative:page;mso-height-relative:page;" fillcolor="#FFFFFF" filled="t" stroked="t" coordsize="21600,21600" o:gfxdata="UEsDBAoAAAAAAIdO4kAAAAAAAAAAAAAAAAAEAAAAZHJzL1BLAwQUAAAACACHTuJA98eVr9kAAAAJ&#10;AQAADwAAAGRycy9kb3ducmV2LnhtbE2PQU+DQBSE7yb+h80z8dbuUgq2lKUxGj15EZt4XdhXILJv&#10;CbtQ9Ne7nuxxMpOZb/LjYno24+g6SxKitQCGVFvdUSPh9PGy2gFzXpFWvSWU8I0OjsXtTa4ybS/0&#10;jnPpGxZKyGVKQuv9kHHu6haNcms7IAXvbEejfJBjw/WoLqHc9HwjRMqN6igstGrApxbrr3IyEpa3&#10;n2o/vUZ16dtd+vAZz8+PJy7l/V0kDsA8Lv4/DH/4AR2KwFTZibRjvYRVnKQhKmGbAAt+HEd7YJWE&#10;TbIVwIucXz8ofgFQSwMEFAAAAAgAh07iQEQipC8oAgAAUAQAAA4AAABkcnMvZTJvRG9jLnhtbK1U&#10;zY7TMBC+I/EOlu80bUNXS9R0hbaUC4KVFh5g6jiJJf/Jdpv0BieEOPAAvAA3TlzhaZaft2DslO4P&#10;HHrAB2fG9nz+5ptx5me9kmTLnRdGl3QyGlPCNTOV0E1JX71cPTilxAfQFUijeUl33NOzxf17884W&#10;fGpaIyvuCIJoX3S2pG0Itsgyz1quwI+M5Ro3a+MUBHRdk1UOOkRXMpuOxydZZ1xlnWHce1xdDpt0&#10;j+iOATR1LRhfGrZRXIcB1XEJAVPyrbCeLhLbuuYsvKhrzwORJcVMQ5rxErTXcc4WcygaB7YVbE8B&#10;jqFwJycFQuOlB6glBCAbJ/6CUoI5400dRsyobEgkKYJZTMZ3tLlswfKUC0rt7UF0//9g2fPthSOi&#10;KmlOiQaFBf/+5c2PT++vPn4tyNWHz79ev/v57S0ukDyK1VlfYMylvXB7z6MZM+9rp+IXcyJ9Enh3&#10;EJj3gTBcnOZ5fjKdUcJwbzI7fZij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fHla/ZAAAACQEAAA8AAAAAAAAAAQAgAAAAIgAAAGRycy9kb3ducmV2LnhtbFBLAQIUABQA&#10;AAAIAIdO4kBEIqQvKAIAAFAEAAAOAAAAAAAAAAEAIAAAACgBAABkcnMvZTJvRG9jLnhtbFBLBQYA&#10;AAAABgAGAFkBAADCBQAAAAA=&#10;">
                <v:fill on="t" focussize="0,0"/>
                <v:stroke color="#000000" joinstyle="miter"/>
                <v:imagedata o:title=""/>
                <o:lock v:ext="edit" aspectratio="f"/>
                <v:textbo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v:textbox>
              </v:shape>
            </w:pict>
          </mc:Fallback>
        </mc:AlternateContent>
      </w:r>
    </w:p>
    <w:p w14:paraId="06F26BB7">
      <w:pPr>
        <w:pStyle w:val="6"/>
        <w:spacing w:line="480" w:lineRule="auto"/>
        <w:rPr>
          <w:rFonts w:hint="eastAsia" w:asciiTheme="minorEastAsia" w:hAnsiTheme="minorEastAsia" w:eastAsiaTheme="minorEastAsia" w:cstheme="minorEastAsia"/>
          <w:b/>
          <w:color w:val="auto"/>
          <w:sz w:val="21"/>
          <w:szCs w:val="21"/>
          <w:highlight w:val="none"/>
        </w:rPr>
      </w:pPr>
    </w:p>
    <w:p w14:paraId="659EE647">
      <w:pPr>
        <w:pStyle w:val="6"/>
        <w:spacing w:line="480" w:lineRule="auto"/>
        <w:rPr>
          <w:rFonts w:hint="eastAsia" w:asciiTheme="minorEastAsia" w:hAnsiTheme="minorEastAsia" w:eastAsiaTheme="minorEastAsia" w:cstheme="minorEastAsia"/>
          <w:b/>
          <w:color w:val="auto"/>
          <w:sz w:val="21"/>
          <w:szCs w:val="21"/>
          <w:highlight w:val="none"/>
        </w:rPr>
      </w:pPr>
    </w:p>
    <w:p w14:paraId="1898D993">
      <w:pPr>
        <w:jc w:val="center"/>
        <w:rPr>
          <w:rFonts w:hint="eastAsia" w:asciiTheme="minorEastAsia" w:hAnsiTheme="minorEastAsia" w:eastAsiaTheme="minorEastAsia" w:cstheme="minorEastAsia"/>
          <w:color w:val="auto"/>
          <w:sz w:val="21"/>
          <w:szCs w:val="21"/>
          <w:highlight w:val="none"/>
        </w:rPr>
      </w:pPr>
    </w:p>
    <w:p w14:paraId="3958B6B9">
      <w:pPr>
        <w:pStyle w:val="6"/>
        <w:spacing w:line="480" w:lineRule="auto"/>
        <w:jc w:val="center"/>
        <w:rPr>
          <w:rFonts w:hint="eastAsia" w:asciiTheme="minorEastAsia" w:hAnsiTheme="minorEastAsia" w:eastAsiaTheme="minorEastAsia" w:cstheme="minorEastAsia"/>
          <w:b/>
          <w:color w:val="auto"/>
          <w:sz w:val="21"/>
          <w:szCs w:val="21"/>
          <w:highlight w:val="none"/>
        </w:rPr>
      </w:pPr>
    </w:p>
    <w:p w14:paraId="252F120F">
      <w:pPr>
        <w:pStyle w:val="6"/>
        <w:ind w:left="0"/>
        <w:jc w:val="both"/>
        <w:rPr>
          <w:rFonts w:hint="eastAsia" w:asciiTheme="minorEastAsia" w:hAnsiTheme="minorEastAsia" w:eastAsiaTheme="minorEastAsia" w:cstheme="minorEastAsia"/>
          <w:b/>
          <w:color w:val="auto"/>
          <w:sz w:val="21"/>
          <w:szCs w:val="21"/>
          <w:highlight w:val="none"/>
        </w:rPr>
      </w:pPr>
    </w:p>
    <w:p w14:paraId="18F4F9C7">
      <w:pPr>
        <w:pStyle w:val="6"/>
        <w:ind w:left="0" w:firstLine="1476" w:firstLineChars="700"/>
        <w:jc w:val="both"/>
        <w:rPr>
          <w:rFonts w:hint="eastAsia" w:asciiTheme="minorEastAsia" w:hAnsiTheme="minorEastAsia" w:eastAsiaTheme="minorEastAsia" w:cstheme="minorEastAsia"/>
          <w:b/>
          <w:color w:val="auto"/>
          <w:sz w:val="21"/>
          <w:szCs w:val="21"/>
          <w:highlight w:val="none"/>
        </w:rPr>
      </w:pPr>
    </w:p>
    <w:p w14:paraId="30A95382">
      <w:pPr>
        <w:jc w:val="center"/>
        <w:outlineLvl w:val="1"/>
        <w:rPr>
          <w:rFonts w:hint="eastAsia" w:asciiTheme="minorEastAsia" w:hAnsiTheme="minorEastAsia" w:eastAsiaTheme="minorEastAsia" w:cstheme="minorEastAsia"/>
          <w:b/>
          <w:color w:val="auto"/>
          <w:sz w:val="21"/>
          <w:szCs w:val="21"/>
          <w:highlight w:val="none"/>
        </w:rPr>
      </w:pPr>
    </w:p>
    <w:p w14:paraId="716473C8">
      <w:pPr>
        <w:jc w:val="center"/>
        <w:outlineLvl w:val="1"/>
        <w:rPr>
          <w:rFonts w:hint="eastAsia" w:asciiTheme="minorEastAsia" w:hAnsiTheme="minorEastAsia" w:eastAsiaTheme="minorEastAsia" w:cstheme="minorEastAsia"/>
          <w:b/>
          <w:color w:val="auto"/>
          <w:sz w:val="21"/>
          <w:szCs w:val="21"/>
          <w:highlight w:val="none"/>
        </w:rPr>
      </w:pPr>
    </w:p>
    <w:p w14:paraId="113CCE4C">
      <w:pPr>
        <w:jc w:val="center"/>
        <w:outlineLvl w:val="1"/>
        <w:rPr>
          <w:rFonts w:hint="eastAsia" w:asciiTheme="minorEastAsia" w:hAnsiTheme="minorEastAsia" w:eastAsiaTheme="minorEastAsia" w:cstheme="minorEastAsia"/>
          <w:b/>
          <w:color w:val="auto"/>
          <w:sz w:val="21"/>
          <w:szCs w:val="21"/>
          <w:highlight w:val="none"/>
        </w:rPr>
      </w:pPr>
    </w:p>
    <w:p w14:paraId="1E0E9059">
      <w:pPr>
        <w:jc w:val="center"/>
        <w:outlineLvl w:val="1"/>
        <w:rPr>
          <w:rFonts w:hint="eastAsia" w:asciiTheme="minorEastAsia" w:hAnsiTheme="minorEastAsia" w:eastAsiaTheme="minorEastAsia" w:cstheme="minorEastAsia"/>
          <w:b/>
          <w:bCs w:val="0"/>
          <w:color w:val="auto"/>
          <w:sz w:val="32"/>
          <w:szCs w:val="32"/>
          <w:highlight w:val="none"/>
        </w:rPr>
      </w:pPr>
      <w:r>
        <w:rPr>
          <w:rFonts w:hint="eastAsia" w:asciiTheme="minorEastAsia" w:hAnsiTheme="minorEastAsia" w:eastAsiaTheme="minorEastAsia" w:cstheme="minorEastAsia"/>
          <w:b/>
          <w:bCs w:val="0"/>
          <w:color w:val="auto"/>
          <w:sz w:val="32"/>
          <w:szCs w:val="32"/>
          <w:highlight w:val="none"/>
        </w:rPr>
        <w:t xml:space="preserve">表3    </w:t>
      </w:r>
      <w:bookmarkStart w:id="5" w:name="_Toc479950109"/>
      <w:r>
        <w:rPr>
          <w:rFonts w:hint="eastAsia" w:asciiTheme="minorEastAsia" w:hAnsiTheme="minorEastAsia" w:eastAsiaTheme="minorEastAsia" w:cstheme="minorEastAsia"/>
          <w:b/>
          <w:bCs w:val="0"/>
          <w:color w:val="auto"/>
          <w:sz w:val="32"/>
          <w:szCs w:val="32"/>
          <w:highlight w:val="none"/>
        </w:rPr>
        <w:t>法定代表人证明书</w:t>
      </w:r>
      <w:bookmarkEnd w:id="5"/>
    </w:p>
    <w:p w14:paraId="50DEA5CA">
      <w:pPr>
        <w:pStyle w:val="6"/>
        <w:spacing w:line="360" w:lineRule="auto"/>
        <w:rPr>
          <w:rFonts w:hint="eastAsia" w:asciiTheme="minorEastAsia" w:hAnsiTheme="minorEastAsia" w:eastAsiaTheme="minorEastAsia" w:cstheme="minorEastAsia"/>
          <w:bCs/>
          <w:color w:val="auto"/>
          <w:sz w:val="21"/>
          <w:szCs w:val="21"/>
          <w:highlight w:val="none"/>
          <w:u w:val="single"/>
        </w:rPr>
      </w:pPr>
    </w:p>
    <w:p w14:paraId="4ECCA36F">
      <w:pPr>
        <w:spacing w:line="46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2329B1A7">
      <w:pPr>
        <w:spacing w:line="460" w:lineRule="exact"/>
        <w:rPr>
          <w:rFonts w:hint="eastAsia" w:asciiTheme="minorEastAsia" w:hAnsiTheme="minorEastAsia" w:eastAsiaTheme="minorEastAsia" w:cstheme="minorEastAsia"/>
          <w:color w:val="auto"/>
          <w:sz w:val="21"/>
          <w:szCs w:val="21"/>
          <w:highlight w:val="none"/>
        </w:rPr>
      </w:pPr>
    </w:p>
    <w:p w14:paraId="319EB854">
      <w:pPr>
        <w:spacing w:line="46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同志，现任我单位</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职务，为法定代表人，特此证明。</w:t>
      </w:r>
    </w:p>
    <w:p w14:paraId="7DE57096">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2D4F7124">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签发日期：                         单位：               （盖章）</w:t>
      </w:r>
    </w:p>
    <w:p w14:paraId="0F4D5F04">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7E9AFDB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附：代表人姓名：          性别：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年龄：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 身份证号码：</w:t>
      </w:r>
    </w:p>
    <w:p w14:paraId="31A4EF2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4833DF1F">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0C0B066">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1EFBB95D">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9D505D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w:t>
      </w:r>
    </w:p>
    <w:p w14:paraId="56A70B5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1.法定代表人为企业事业单位、国家机关、社会团体的主要行政负责人。</w:t>
      </w:r>
    </w:p>
    <w:p w14:paraId="09B08433">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2.内容必须填写真实、清楚、涂改无效，不得转让、买卖。</w:t>
      </w:r>
    </w:p>
    <w:p w14:paraId="27E10F78">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p>
    <w:p w14:paraId="76CDBB0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4.身份证复印件（或扫描件）必须清晰可见。</w:t>
      </w:r>
    </w:p>
    <w:p w14:paraId="68EF357E">
      <w:pPr>
        <w:spacing w:line="460" w:lineRule="exact"/>
        <w:rPr>
          <w:rFonts w:hint="eastAsia" w:asciiTheme="minorEastAsia" w:hAnsiTheme="minorEastAsia" w:eastAsiaTheme="minorEastAsia" w:cstheme="minorEastAsia"/>
          <w:b/>
          <w:color w:val="auto"/>
          <w:sz w:val="21"/>
          <w:szCs w:val="21"/>
          <w:highlight w:val="none"/>
        </w:rPr>
      </w:pPr>
    </w:p>
    <w:p w14:paraId="633D46F9">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3255010</wp:posOffset>
                </wp:positionH>
                <wp:positionV relativeFrom="paragraph">
                  <wp:posOffset>210185</wp:posOffset>
                </wp:positionV>
                <wp:extent cx="2288540" cy="1634490"/>
                <wp:effectExtent l="5080" t="4445" r="11430" b="18415"/>
                <wp:wrapNone/>
                <wp:docPr id="5" name="流程图: 可选过程 5"/>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wps:txbx>
                      <wps:bodyPr upright="1"/>
                    </wps:wsp>
                  </a:graphicData>
                </a:graphic>
              </wp:anchor>
            </w:drawing>
          </mc:Choice>
          <mc:Fallback>
            <w:pict>
              <v:shape id="_x0000_s1026" o:spid="_x0000_s1026" o:spt="176" type="#_x0000_t176" style="position:absolute;left:0pt;margin-left:256.3pt;margin-top:16.55pt;height:128.7pt;width:180.2pt;z-index:251662336;mso-width-relative:page;mso-height-relative:page;" fillcolor="#FFFFFF" filled="t" stroked="t" coordsize="21600,21600" o:gfxdata="UEsDBAoAAAAAAIdO4kAAAAAAAAAAAAAAAAAEAAAAZHJzL1BLAwQUAAAACACHTuJAaNu5KNkAAAAK&#10;AQAADwAAAGRycy9kb3ducmV2LnhtbE2PwU6EMBRF9yb+Q/NM3DltIcMwDGViNLpyI07ittAOJdKW&#10;0MKgX+9z5Sxf3sm955bH1Q5k0VPovRPANwyIdq1XvesEnD5eHnIgIUqn5OCdFvCtAxyr25tSFspf&#10;3Lte6tgRDHGhkAJMjGNBaWiNtjJs/Kgd/s5+sjLiOXVUTfKC4XagCWMZtbJ32GDkqJ+Mbr/q2QpY&#10;336a/fzK2zqaPNt9psvz44kKcX/H2QFI1Gv8h+FPH9WhQqfGz04FMgjY8iRDVECaciAI5LsUxzUC&#10;kj3bAq1Kej2h+gVQSwMEFAAAAAgAh07iQJPDZo0rAgAAUAQAAA4AAABkcnMvZTJvRG9jLnhtbK1U&#10;y47TMBTdI/EPlvc0bWlHnajpCE0pGwQjDXzAreMklvyS7TbpDlYIseAD+IHZsWILXzM8/oJrp3Qe&#10;sOiCLJLrxz0+59zrzM86JcmWOy+MLuhoMKSEa2ZKoeuCvn61ejSjxAfQJUijeUF33NOzxcMH89bm&#10;fGwaI0vuCIJon7e2oE0INs8yzxquwA+M5RoXK+MUBBy6OisdtIiuZDYeDk+y1rjSOsO49zi77Bfp&#10;HtEdA2iqSjC+NGyjuA49quMSAkryjbCeLhLbquIsvKwqzwORBUWlIb3xEIzX8Z0t5pDXDmwj2J4C&#10;HEPhniYFQuOhB6glBCAbJ/6CUoI5400VBsyorBeSHEEVo+E9by4bsDxpQau9PZju/x8se7G9cESU&#10;BZ1SokFhwb9/efvj6sP1p685uf74+deb9z+/vcMJMo1mtdbnmHNpL9x+5DGMyrvKqfhFTaRLBu8O&#10;BvMuEIaT4/FsNp2g9wzXRiePJ5PTVILsJt06H55xo0gMClpJ05434MITGbjTEPhF3zrJbdg+9wF5&#10;YP6fvEjBGynKlZAyDVy9PpeObAFbYJWeKART7myTmrQFPZ2O0QcG2NcV9hOGyqI3XtfpvDsZ/jbw&#10;MD3/Ao7EluCbnkBCiNsgVwIVpajhUD7VJQk7i/5rvHY0klG8pERyvKUxSjsDCHnMTlQnNYqM5eoL&#10;FKPQrTuEieHalDss/MY6UTfo8yhRjyvYaMmd/aWInXx7nEBvfgS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jbuSjZAAAACgEAAA8AAAAAAAAAAQAgAAAAIgAAAGRycy9kb3ducmV2LnhtbFBLAQIU&#10;ABQAAAAIAIdO4kCTw2aNKwIAAFAEAAAOAAAAAAAAAAEAIAAAACgBAABkcnMvZTJvRG9jLnhtbFBL&#10;BQYAAAAABgAGAFkBAADFBQAAAAA=&#10;">
                <v:fill on="t" focussize="0,0"/>
                <v:stroke color="#000000" joinstyle="miter"/>
                <v:imagedata o:title=""/>
                <o:lock v:ext="edit" aspectratio="f"/>
                <v:textbo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210185</wp:posOffset>
                </wp:positionV>
                <wp:extent cx="2288540" cy="1634490"/>
                <wp:effectExtent l="5080" t="4445" r="11430" b="18415"/>
                <wp:wrapNone/>
                <wp:docPr id="4" name="流程图: 可选过程 4"/>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5.8pt;margin-top:16.55pt;height:128.7pt;width:180.2pt;z-index:251661312;mso-width-relative:page;mso-height-relative:page;" fillcolor="#FFFFFF" filled="t" stroked="t" coordsize="21600,21600" o:gfxdata="UEsDBAoAAAAAAIdO4kAAAAAAAAAAAAAAAAAEAAAAZHJzL1BLAwQUAAAACACHTuJAfwPgidcAAAAJ&#10;AQAADwAAAGRycy9kb3ducmV2LnhtbE2PQU+EMBSE7yb+h+aZeHPbQmR3WcrGaPTkRdzEa6EVyNJX&#10;QguL/nqfJz1OZjLzTXFc3cAWO4XeowK5EcAsNt702Co4vT/f7YCFqNHowaNV8GUDHMvrq0Lnxl/w&#10;zS5VbBmVYMi1gi7GMec8NJ11Omz8aJG8Tz85HUlOLTeTvlC5G3giRMad7pEWOj3ax84252p2CtbX&#10;73o/v8imit0u236ky9PDiSt1eyPFAVi0a/wLwy8+oUNJTLWf0QQ2kJYZJRWkqQRGfrpN6FutINmL&#10;e+Blwf8/KH8AUEsDBBQAAAAIAIdO4kDxu3FnLAIAAFAEAAAOAAAAZHJzL2Uyb0RvYy54bWytVMuO&#10;0zAU3SPxD5b3NG1pR52o6QhNKRsEIw18wK3jJJb8ku026Q5WCLHgA/iB2bFiC18zPP6Ca6d0HrDo&#10;giyS68c9Pufc68zPOiXJljsvjC7oaDCkhGtmSqHrgr5+tXo0o8QH0CVIo3lBd9zTs8XDB/PW5nxs&#10;GiNL7giCaJ+3tqBNCDbPMs8arsAPjOUaFyvjFAQcujorHbSIrmQ2Hg5Psta40jrDuPc4u+wX6R7R&#10;HQNoqkowvjRso7gOParjEgJK8o2wni4S26riLLysKs8DkQVFpSG98RCM1/GdLeaQ1w5sI9ieAhxD&#10;4Z4mBULjoQeoJQQgGyf+glKCOeNNFQbMqKwXkhxBFaPhPW8uG7A8aUGrvT2Y7v8fLHuxvXBElAWd&#10;UKJBYcG/f3n74+rD9aevObn++PnXm/c/v73DCTKJZrXW55hzaS/cfuQxjMq7yqn4RU2kSwbvDgbz&#10;LhCGk+PxbDadoPcM10YnjyeT01SC7CbdOh+ecaNIDApaSdOeN+DCExm40xD4Rd86yW3YPvcBeWD+&#10;n7xIwRspypWQMg1cvT6XjmwBW2CVnigEU+5sk5q0BT2djqfIDrCvK+wnDJVFb7yu03l3Mvxt4GF6&#10;/gUciS3BNz2BhBC3Qa4EKkpRw6F8qksSdhb913jtaCSjeEmJ5HhLY5R2BhDymJ2oTmoUGcvVFyhG&#10;oVt3CBPDtSl3WPiNdaJu0OdRoh5XsNGSO/tLETv59jiB3vwI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wPgidcAAAAJAQAADwAAAAAAAAABACAAAAAiAAAAZHJzL2Rvd25yZXYueG1sUEsBAhQA&#10;FAAAAAgAh07iQPG7cWcsAgAAUAQAAA4AAAAAAAAAAQAgAAAAJgEAAGRycy9lMm9Eb2MueG1sUEsF&#10;BgAAAAAGAAYAWQEAAMQFAAAAAA==&#10;">
                <v:fill on="t" focussize="0,0"/>
                <v:stroke color="#000000" joinstyle="miter"/>
                <v:imagedata o:title=""/>
                <o:lock v:ext="edit" aspectratio="f"/>
                <v:textbo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v:textbox>
              </v:shape>
            </w:pict>
          </mc:Fallback>
        </mc:AlternateContent>
      </w:r>
    </w:p>
    <w:p w14:paraId="3346A7D6">
      <w:pPr>
        <w:spacing w:line="460" w:lineRule="exact"/>
        <w:rPr>
          <w:rFonts w:hint="eastAsia" w:asciiTheme="minorEastAsia" w:hAnsiTheme="minorEastAsia" w:eastAsiaTheme="minorEastAsia" w:cstheme="minorEastAsia"/>
          <w:b/>
          <w:color w:val="auto"/>
          <w:sz w:val="21"/>
          <w:szCs w:val="21"/>
          <w:highlight w:val="none"/>
        </w:rPr>
      </w:pPr>
    </w:p>
    <w:p w14:paraId="3ED58DEC">
      <w:pPr>
        <w:spacing w:line="460" w:lineRule="exact"/>
        <w:rPr>
          <w:rFonts w:hint="eastAsia" w:asciiTheme="minorEastAsia" w:hAnsiTheme="minorEastAsia" w:eastAsiaTheme="minorEastAsia" w:cstheme="minorEastAsia"/>
          <w:b/>
          <w:color w:val="auto"/>
          <w:sz w:val="21"/>
          <w:szCs w:val="21"/>
          <w:highlight w:val="none"/>
        </w:rPr>
      </w:pPr>
    </w:p>
    <w:p w14:paraId="7210EF6F">
      <w:pPr>
        <w:spacing w:line="460" w:lineRule="exact"/>
        <w:rPr>
          <w:rFonts w:hint="eastAsia" w:asciiTheme="minorEastAsia" w:hAnsiTheme="minorEastAsia" w:eastAsiaTheme="minorEastAsia" w:cstheme="minorEastAsia"/>
          <w:b/>
          <w:color w:val="auto"/>
          <w:sz w:val="21"/>
          <w:szCs w:val="21"/>
          <w:highlight w:val="none"/>
        </w:rPr>
      </w:pPr>
    </w:p>
    <w:p w14:paraId="483DE09E">
      <w:pPr>
        <w:spacing w:line="460" w:lineRule="exact"/>
        <w:rPr>
          <w:rFonts w:hint="eastAsia" w:asciiTheme="minorEastAsia" w:hAnsiTheme="minorEastAsia" w:eastAsiaTheme="minorEastAsia" w:cstheme="minorEastAsia"/>
          <w:b/>
          <w:color w:val="auto"/>
          <w:sz w:val="21"/>
          <w:szCs w:val="21"/>
          <w:highlight w:val="none"/>
        </w:rPr>
      </w:pPr>
    </w:p>
    <w:p w14:paraId="5329C951">
      <w:pPr>
        <w:spacing w:line="460" w:lineRule="exact"/>
        <w:rPr>
          <w:rFonts w:hint="eastAsia" w:asciiTheme="minorEastAsia" w:hAnsiTheme="minorEastAsia" w:eastAsiaTheme="minorEastAsia" w:cstheme="minorEastAsia"/>
          <w:b/>
          <w:color w:val="auto"/>
          <w:sz w:val="21"/>
          <w:szCs w:val="21"/>
          <w:highlight w:val="none"/>
        </w:rPr>
      </w:pPr>
    </w:p>
    <w:p w14:paraId="50962AEB">
      <w:pPr>
        <w:spacing w:line="360" w:lineRule="auto"/>
        <w:ind w:firstLine="644" w:firstLineChars="307"/>
        <w:rPr>
          <w:rFonts w:hint="eastAsia" w:asciiTheme="minorEastAsia" w:hAnsiTheme="minorEastAsia" w:eastAsiaTheme="minorEastAsia" w:cstheme="minorEastAsia"/>
          <w:color w:val="auto"/>
          <w:sz w:val="21"/>
          <w:szCs w:val="21"/>
          <w:highlight w:val="none"/>
        </w:rPr>
      </w:pPr>
    </w:p>
    <w:p w14:paraId="47204481">
      <w:pPr>
        <w:pStyle w:val="4"/>
        <w:spacing w:before="120" w:after="120"/>
        <w:jc w:val="both"/>
        <w:rPr>
          <w:rFonts w:hint="eastAsia" w:asciiTheme="minorEastAsia" w:hAnsiTheme="minorEastAsia" w:eastAsiaTheme="minorEastAsia" w:cstheme="minorEastAsia"/>
          <w:bCs/>
          <w:color w:val="auto"/>
          <w:sz w:val="21"/>
          <w:szCs w:val="21"/>
          <w:highlight w:val="none"/>
        </w:rPr>
      </w:pPr>
    </w:p>
    <w:p w14:paraId="5887C9F8">
      <w:pPr>
        <w:rPr>
          <w:rFonts w:hint="eastAsia" w:asciiTheme="minorEastAsia" w:hAnsiTheme="minorEastAsia" w:eastAsiaTheme="minorEastAsia" w:cstheme="minorEastAsia"/>
          <w:bCs/>
          <w:color w:val="auto"/>
          <w:sz w:val="21"/>
          <w:szCs w:val="21"/>
          <w:highlight w:val="none"/>
        </w:rPr>
      </w:pPr>
    </w:p>
    <w:p w14:paraId="4CB79176">
      <w:pPr>
        <w:rPr>
          <w:rFonts w:hint="eastAsia" w:asciiTheme="minorEastAsia" w:hAnsiTheme="minorEastAsia" w:eastAsiaTheme="minorEastAsia" w:cstheme="minorEastAsia"/>
          <w:bCs/>
          <w:color w:val="auto"/>
          <w:sz w:val="21"/>
          <w:szCs w:val="21"/>
          <w:highlight w:val="none"/>
        </w:rPr>
      </w:pPr>
    </w:p>
    <w:p w14:paraId="164291FB">
      <w:pPr>
        <w:pStyle w:val="4"/>
        <w:spacing w:before="120" w:after="12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表4   分项报价一览表</w:t>
      </w:r>
    </w:p>
    <w:p w14:paraId="5F052EA6">
      <w:pPr>
        <w:spacing w:before="120" w:beforeLines="50" w:after="120" w:afterLines="50" w:line="360" w:lineRule="auto"/>
        <w:ind w:firstLine="53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项目名称：                                    金额单位：元（人民币）</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4"/>
        <w:gridCol w:w="2672"/>
        <w:gridCol w:w="1850"/>
        <w:gridCol w:w="1588"/>
        <w:gridCol w:w="2378"/>
      </w:tblGrid>
      <w:tr w14:paraId="5A7F5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5" w:hRule="atLeast"/>
          <w:jc w:val="center"/>
        </w:trPr>
        <w:tc>
          <w:tcPr>
            <w:tcW w:w="894" w:type="dxa"/>
            <w:tcBorders>
              <w:top w:val="double" w:color="auto" w:sz="4" w:space="0"/>
              <w:bottom w:val="single" w:color="auto" w:sz="6" w:space="0"/>
            </w:tcBorders>
            <w:shd w:val="clear" w:color="auto" w:fill="D9D9D9"/>
            <w:noWrap w:val="0"/>
            <w:vAlign w:val="center"/>
          </w:tcPr>
          <w:p w14:paraId="20260D7A">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2672" w:type="dxa"/>
            <w:tcBorders>
              <w:top w:val="double" w:color="auto" w:sz="4" w:space="0"/>
              <w:bottom w:val="single" w:color="auto" w:sz="6" w:space="0"/>
            </w:tcBorders>
            <w:shd w:val="clear" w:color="auto" w:fill="D9D9D9"/>
            <w:noWrap w:val="0"/>
            <w:vAlign w:val="center"/>
          </w:tcPr>
          <w:p w14:paraId="0F73775E">
            <w:pPr>
              <w:pStyle w:val="95"/>
              <w:keepNext w:val="0"/>
              <w:snapToGrid w:val="0"/>
              <w:spacing w:before="0" w:after="0" w:line="360" w:lineRule="auto"/>
              <w:textAlignment w:val="auto"/>
              <w:rPr>
                <w:rFonts w:hint="eastAsia" w:asciiTheme="minorEastAsia" w:hAnsiTheme="minorEastAsia" w:eastAsiaTheme="minorEastAsia" w:cstheme="minorEastAsia"/>
                <w:b/>
                <w:snapToGrid/>
                <w:color w:val="auto"/>
                <w:spacing w:val="0"/>
                <w:kern w:val="2"/>
                <w:sz w:val="21"/>
                <w:szCs w:val="21"/>
                <w:highlight w:val="none"/>
                <w:lang w:val="en-US" w:eastAsia="zh-CN"/>
              </w:rPr>
            </w:pPr>
            <w:r>
              <w:rPr>
                <w:rFonts w:hint="eastAsia" w:asciiTheme="minorEastAsia" w:hAnsiTheme="minorEastAsia" w:eastAsiaTheme="minorEastAsia" w:cstheme="minorEastAsia"/>
                <w:b/>
                <w:snapToGrid/>
                <w:color w:val="auto"/>
                <w:spacing w:val="0"/>
                <w:kern w:val="2"/>
                <w:sz w:val="21"/>
                <w:szCs w:val="21"/>
                <w:highlight w:val="none"/>
                <w:lang w:val="en-US" w:eastAsia="zh-CN"/>
              </w:rPr>
              <w:t>项目名称</w:t>
            </w:r>
          </w:p>
        </w:tc>
        <w:tc>
          <w:tcPr>
            <w:tcW w:w="1850" w:type="dxa"/>
            <w:tcBorders>
              <w:top w:val="double" w:color="auto" w:sz="4" w:space="0"/>
              <w:bottom w:val="single" w:color="auto" w:sz="6" w:space="0"/>
            </w:tcBorders>
            <w:shd w:val="clear" w:color="auto" w:fill="D9D9D9"/>
            <w:noWrap w:val="0"/>
            <w:vAlign w:val="center"/>
          </w:tcPr>
          <w:p w14:paraId="5BD848FE">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单价</w:t>
            </w:r>
          </w:p>
        </w:tc>
        <w:tc>
          <w:tcPr>
            <w:tcW w:w="1588" w:type="dxa"/>
            <w:tcBorders>
              <w:top w:val="double" w:color="auto" w:sz="4" w:space="0"/>
              <w:bottom w:val="single" w:color="auto" w:sz="6" w:space="0"/>
            </w:tcBorders>
            <w:shd w:val="clear" w:color="auto" w:fill="D9D9D9"/>
            <w:noWrap w:val="0"/>
            <w:vAlign w:val="center"/>
          </w:tcPr>
          <w:p w14:paraId="18B7EF82">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总价</w:t>
            </w:r>
          </w:p>
        </w:tc>
        <w:tc>
          <w:tcPr>
            <w:tcW w:w="2378" w:type="dxa"/>
            <w:tcBorders>
              <w:top w:val="double" w:color="auto" w:sz="4" w:space="0"/>
              <w:bottom w:val="single" w:color="auto" w:sz="6" w:space="0"/>
            </w:tcBorders>
            <w:shd w:val="clear" w:color="auto" w:fill="D9D9D9"/>
            <w:noWrap w:val="0"/>
            <w:vAlign w:val="center"/>
          </w:tcPr>
          <w:p w14:paraId="7D277C0B">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备 注</w:t>
            </w:r>
          </w:p>
        </w:tc>
      </w:tr>
      <w:tr w14:paraId="39A9E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tcBorders>
              <w:top w:val="single" w:color="auto" w:sz="6" w:space="0"/>
            </w:tcBorders>
            <w:noWrap w:val="0"/>
            <w:vAlign w:val="center"/>
          </w:tcPr>
          <w:p w14:paraId="6CCC371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2672" w:type="dxa"/>
            <w:tcBorders>
              <w:top w:val="single" w:color="auto" w:sz="6" w:space="0"/>
            </w:tcBorders>
            <w:noWrap w:val="0"/>
            <w:vAlign w:val="center"/>
          </w:tcPr>
          <w:p w14:paraId="5F51A263">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tcBorders>
              <w:top w:val="single" w:color="auto" w:sz="6" w:space="0"/>
            </w:tcBorders>
            <w:noWrap w:val="0"/>
            <w:vAlign w:val="center"/>
          </w:tcPr>
          <w:p w14:paraId="47238542">
            <w:pPr>
              <w:adjustRightInd w:val="0"/>
              <w:snapToGrid w:val="0"/>
              <w:spacing w:line="360" w:lineRule="auto"/>
              <w:rPr>
                <w:rFonts w:hint="eastAsia" w:asciiTheme="minorEastAsia" w:hAnsiTheme="minorEastAsia" w:eastAsiaTheme="minorEastAsia" w:cstheme="minorEastAsia"/>
                <w:color w:val="auto"/>
                <w:sz w:val="21"/>
                <w:szCs w:val="21"/>
                <w:highlight w:val="none"/>
                <w:lang w:eastAsia="zh-CN"/>
              </w:rPr>
            </w:pPr>
          </w:p>
        </w:tc>
        <w:tc>
          <w:tcPr>
            <w:tcW w:w="1588" w:type="dxa"/>
            <w:tcBorders>
              <w:top w:val="single" w:color="auto" w:sz="6" w:space="0"/>
            </w:tcBorders>
            <w:noWrap w:val="0"/>
            <w:vAlign w:val="center"/>
          </w:tcPr>
          <w:p w14:paraId="65103EE1">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tcBorders>
              <w:top w:val="single" w:color="auto" w:sz="6" w:space="0"/>
            </w:tcBorders>
            <w:noWrap w:val="0"/>
            <w:vAlign w:val="center"/>
          </w:tcPr>
          <w:p w14:paraId="1FE708B1">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464F3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noWrap w:val="0"/>
            <w:vAlign w:val="center"/>
          </w:tcPr>
          <w:p w14:paraId="2DD57F6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2672" w:type="dxa"/>
            <w:noWrap w:val="0"/>
            <w:vAlign w:val="center"/>
          </w:tcPr>
          <w:p w14:paraId="20105982">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noWrap w:val="0"/>
            <w:vAlign w:val="center"/>
          </w:tcPr>
          <w:p w14:paraId="269287DF">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1588" w:type="dxa"/>
            <w:noWrap w:val="0"/>
            <w:vAlign w:val="center"/>
          </w:tcPr>
          <w:p w14:paraId="1BA98192">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noWrap w:val="0"/>
            <w:vAlign w:val="center"/>
          </w:tcPr>
          <w:p w14:paraId="197857C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19CFC4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6" w:hRule="atLeast"/>
          <w:jc w:val="center"/>
        </w:trPr>
        <w:tc>
          <w:tcPr>
            <w:tcW w:w="894" w:type="dxa"/>
            <w:noWrap w:val="0"/>
            <w:vAlign w:val="center"/>
          </w:tcPr>
          <w:p w14:paraId="7568D50A">
            <w:pPr>
              <w:adjustRightInd w:val="0"/>
              <w:snapToGrid w:val="0"/>
              <w:spacing w:line="36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总计</w:t>
            </w:r>
          </w:p>
        </w:tc>
        <w:tc>
          <w:tcPr>
            <w:tcW w:w="8488" w:type="dxa"/>
            <w:gridSpan w:val="4"/>
            <w:noWrap w:val="0"/>
            <w:vAlign w:val="center"/>
          </w:tcPr>
          <w:p w14:paraId="4D9BBFBB">
            <w:pPr>
              <w:adjustRightInd w:val="0"/>
              <w:snapToGrid w:val="0"/>
              <w:spacing w:line="360" w:lineRule="auto"/>
              <w:rPr>
                <w:rFonts w:hint="eastAsia" w:asciiTheme="minorEastAsia" w:hAnsiTheme="minorEastAsia" w:eastAsiaTheme="minorEastAsia" w:cstheme="minorEastAsia"/>
                <w:b/>
                <w:bCs/>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大写：</w:t>
            </w:r>
            <w:r>
              <w:rPr>
                <w:rFonts w:hint="eastAsia" w:asciiTheme="minorEastAsia" w:hAnsiTheme="minorEastAsia" w:eastAsiaTheme="minorEastAsia" w:cstheme="minorEastAsia"/>
                <w:b/>
                <w:bCs/>
                <w:strike w:val="0"/>
                <w:dstrike w:val="0"/>
                <w:color w:val="auto"/>
                <w:sz w:val="21"/>
                <w:szCs w:val="21"/>
                <w:highlight w:val="none"/>
                <w:u w:val="single"/>
              </w:rPr>
              <w:t xml:space="preserve">               </w:t>
            </w:r>
            <w:r>
              <w:rPr>
                <w:rFonts w:hint="eastAsia" w:asciiTheme="minorEastAsia" w:hAnsiTheme="minorEastAsia" w:eastAsiaTheme="minorEastAsia" w:cstheme="minorEastAsia"/>
                <w:b/>
                <w:bCs/>
                <w:strike w:val="0"/>
                <w:dstrike w:val="0"/>
                <w:color w:val="auto"/>
                <w:sz w:val="21"/>
                <w:szCs w:val="21"/>
                <w:highlight w:val="none"/>
                <w:u w:val="single"/>
                <w:lang w:val="en-US" w:eastAsia="zh-CN"/>
              </w:rPr>
              <w:t xml:space="preserve">   </w:t>
            </w:r>
            <w:r>
              <w:rPr>
                <w:rFonts w:hint="eastAsia" w:asciiTheme="minorEastAsia" w:hAnsiTheme="minorEastAsia" w:eastAsiaTheme="minorEastAsia" w:cstheme="minorEastAsia"/>
                <w:b/>
                <w:bCs/>
                <w:strike w:val="0"/>
                <w:dstrike w:val="0"/>
                <w:color w:val="auto"/>
                <w:sz w:val="21"/>
                <w:szCs w:val="21"/>
                <w:highlight w:val="none"/>
                <w:u w:val="single"/>
              </w:rPr>
              <w:t xml:space="preserve">    </w:t>
            </w:r>
            <w:r>
              <w:rPr>
                <w:rFonts w:hint="eastAsia" w:asciiTheme="minorEastAsia" w:hAnsiTheme="minorEastAsia" w:eastAsiaTheme="minorEastAsia" w:cstheme="minorEastAsia"/>
                <w:b/>
                <w:bCs/>
                <w:strike w:val="0"/>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（小写：￥</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w:t>
            </w:r>
          </w:p>
        </w:tc>
      </w:tr>
    </w:tbl>
    <w:p w14:paraId="767914FF">
      <w:pPr>
        <w:pStyle w:val="23"/>
        <w:snapToGrid w:val="0"/>
        <w:spacing w:line="360" w:lineRule="auto"/>
        <w:ind w:left="315" w:right="120" w:rightChars="57" w:hanging="315" w:hangingChars="15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22476CFA">
      <w:pPr>
        <w:pStyle w:val="23"/>
        <w:numPr>
          <w:ilvl w:val="0"/>
          <w:numId w:val="10"/>
        </w:numPr>
        <w:snapToGrid w:val="0"/>
        <w:spacing w:line="360" w:lineRule="auto"/>
        <w:ind w:left="315" w:right="120" w:rightChars="57" w:hanging="315" w:hangingChars="15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此表的总计系该项目所需费用含相关货物、劳务、服务、交通、管理、税费等在内的全部一切费用，金额总数即报价总价。</w:t>
      </w:r>
    </w:p>
    <w:p w14:paraId="607B3AD2">
      <w:pPr>
        <w:pStyle w:val="23"/>
        <w:numPr>
          <w:ilvl w:val="0"/>
          <w:numId w:val="10"/>
        </w:numPr>
        <w:snapToGrid w:val="0"/>
        <w:spacing w:line="360" w:lineRule="auto"/>
        <w:ind w:left="316" w:right="120" w:rightChars="57" w:hanging="315" w:hangingChars="150"/>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分项报价按照采购人要求(或采购需求）格式进行报价。</w:t>
      </w:r>
    </w:p>
    <w:p w14:paraId="200D03A3">
      <w:pPr>
        <w:spacing w:line="360" w:lineRule="auto"/>
        <w:rPr>
          <w:rFonts w:hint="eastAsia" w:asciiTheme="minorEastAsia" w:hAnsiTheme="minorEastAsia" w:eastAsiaTheme="minorEastAsia" w:cstheme="minorEastAsia"/>
          <w:color w:val="auto"/>
          <w:sz w:val="21"/>
          <w:szCs w:val="21"/>
          <w:highlight w:val="none"/>
        </w:rPr>
      </w:pPr>
    </w:p>
    <w:p w14:paraId="5C629CE9">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p>
    <w:p w14:paraId="6BBE31C2">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报价人法定代表人或其委托人签字： _____________</w:t>
      </w:r>
    </w:p>
    <w:p w14:paraId="797FE415">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4AFCCFF7">
      <w:pPr>
        <w:spacing w:line="360" w:lineRule="auto"/>
        <w:rPr>
          <w:rFonts w:hint="eastAsia" w:asciiTheme="minorEastAsia" w:hAnsiTheme="minorEastAsia" w:eastAsiaTheme="minorEastAsia" w:cstheme="minorEastAsia"/>
          <w:color w:val="auto"/>
          <w:sz w:val="21"/>
          <w:szCs w:val="21"/>
          <w:highlight w:val="none"/>
        </w:rPr>
      </w:pPr>
    </w:p>
    <w:p w14:paraId="2A24BEA9">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F593CB0">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D1535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F19B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4C5B27B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B1991A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B260E1B">
      <w:pPr>
        <w:spacing w:line="360" w:lineRule="auto"/>
        <w:jc w:val="both"/>
        <w:rPr>
          <w:rFonts w:hint="eastAsia" w:asciiTheme="minorEastAsia" w:hAnsiTheme="minorEastAsia" w:eastAsiaTheme="minorEastAsia" w:cstheme="minorEastAsia"/>
          <w:b/>
          <w:bCs/>
          <w:color w:val="auto"/>
          <w:sz w:val="21"/>
          <w:szCs w:val="21"/>
          <w:highlight w:val="none"/>
        </w:rPr>
      </w:pPr>
    </w:p>
    <w:p w14:paraId="1E358FD5">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018A33C">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01F3EE">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186298F">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D8494F4">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5D4463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6B34F1C">
      <w:pPr>
        <w:jc w:val="center"/>
        <w:outlineLvl w:val="1"/>
        <w:rPr>
          <w:rFonts w:hint="eastAsia" w:asciiTheme="minorEastAsia" w:hAnsiTheme="minorEastAsia" w:eastAsiaTheme="minorEastAsia" w:cstheme="minorEastAsia"/>
          <w:b/>
          <w:bCs/>
          <w:color w:val="auto"/>
          <w:sz w:val="21"/>
          <w:szCs w:val="21"/>
          <w:highlight w:val="none"/>
        </w:rPr>
      </w:pPr>
    </w:p>
    <w:p w14:paraId="40F26F72">
      <w:pPr>
        <w:jc w:val="center"/>
        <w:outlineLvl w:val="1"/>
        <w:rPr>
          <w:rFonts w:hint="eastAsia" w:asciiTheme="minorEastAsia" w:hAnsiTheme="minorEastAsia" w:eastAsiaTheme="minorEastAsia" w:cstheme="minorEastAsia"/>
          <w:b/>
          <w:bCs/>
          <w:color w:val="auto"/>
          <w:sz w:val="21"/>
          <w:szCs w:val="21"/>
          <w:highlight w:val="none"/>
        </w:rPr>
      </w:pPr>
    </w:p>
    <w:p w14:paraId="4FE1852F">
      <w:pPr>
        <w:jc w:val="center"/>
        <w:outlineLvl w:val="1"/>
        <w:rPr>
          <w:rFonts w:hint="eastAsia" w:asciiTheme="minorEastAsia" w:hAnsiTheme="minorEastAsia" w:eastAsiaTheme="minorEastAsia" w:cstheme="minorEastAsia"/>
          <w:b/>
          <w:bCs/>
          <w:color w:val="auto"/>
          <w:sz w:val="21"/>
          <w:szCs w:val="21"/>
          <w:highlight w:val="none"/>
        </w:rPr>
      </w:pPr>
    </w:p>
    <w:p w14:paraId="73BE2795">
      <w:pPr>
        <w:jc w:val="both"/>
        <w:outlineLvl w:val="1"/>
        <w:rPr>
          <w:rFonts w:hint="eastAsia" w:asciiTheme="minorEastAsia" w:hAnsiTheme="minorEastAsia" w:eastAsiaTheme="minorEastAsia" w:cstheme="minorEastAsia"/>
          <w:b/>
          <w:bCs/>
          <w:color w:val="auto"/>
          <w:sz w:val="21"/>
          <w:szCs w:val="21"/>
          <w:highlight w:val="none"/>
        </w:rPr>
      </w:pPr>
    </w:p>
    <w:p w14:paraId="3C300C0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表5  服务方案和承诺</w:t>
      </w:r>
    </w:p>
    <w:p w14:paraId="5E15D8BA">
      <w:pPr>
        <w:jc w:val="center"/>
        <w:outlineLvl w:val="1"/>
        <w:rPr>
          <w:rFonts w:hint="eastAsia" w:asciiTheme="minorEastAsia" w:hAnsiTheme="minorEastAsia" w:eastAsiaTheme="minorEastAsia" w:cstheme="minorEastAsia"/>
          <w:color w:val="auto"/>
          <w:sz w:val="21"/>
          <w:szCs w:val="21"/>
          <w:highlight w:val="none"/>
        </w:rPr>
      </w:pPr>
    </w:p>
    <w:p w14:paraId="0E641072">
      <w:pPr>
        <w:adjustRightInd w:val="0"/>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主要内容应包括但不限于采购需求部分（格式自定）：</w:t>
      </w:r>
    </w:p>
    <w:p w14:paraId="1D0488FF">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1.人员配置</w:t>
      </w:r>
    </w:p>
    <w:p w14:paraId="010022C9">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2.提供服务及其实施措施；</w:t>
      </w:r>
    </w:p>
    <w:p w14:paraId="5DCE81E9">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3.须采购人配合事项；</w:t>
      </w:r>
    </w:p>
    <w:p w14:paraId="5760235B">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4.根据项目需求逐项作出承诺；</w:t>
      </w:r>
    </w:p>
    <w:p w14:paraId="477891AB">
      <w:pPr>
        <w:tabs>
          <w:tab w:val="left" w:pos="630"/>
        </w:tabs>
        <w:spacing w:line="520" w:lineRule="exact"/>
        <w:ind w:left="210" w:left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5.供应商的其他资料。</w:t>
      </w:r>
    </w:p>
    <w:p w14:paraId="0C23425E">
      <w:pPr>
        <w:tabs>
          <w:tab w:val="left" w:pos="630"/>
        </w:tabs>
        <w:spacing w:line="520" w:lineRule="exact"/>
        <w:ind w:left="210" w:leftChars="10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报价单位承诺书所承诺内容包含但不限于上述要素</w:t>
      </w:r>
    </w:p>
    <w:p w14:paraId="438C7593">
      <w:pPr>
        <w:spacing w:line="400" w:lineRule="exact"/>
        <w:rPr>
          <w:rFonts w:hint="eastAsia" w:asciiTheme="minorEastAsia" w:hAnsiTheme="minorEastAsia" w:eastAsiaTheme="minorEastAsia" w:cstheme="minorEastAsia"/>
          <w:color w:val="auto"/>
          <w:sz w:val="21"/>
          <w:szCs w:val="21"/>
          <w:highlight w:val="none"/>
        </w:rPr>
      </w:pPr>
    </w:p>
    <w:p w14:paraId="2D017845">
      <w:pPr>
        <w:spacing w:line="400" w:lineRule="exact"/>
        <w:ind w:left="-619" w:leftChars="-295"/>
        <w:rPr>
          <w:rFonts w:hint="eastAsia" w:asciiTheme="minorEastAsia" w:hAnsiTheme="minorEastAsia" w:eastAsiaTheme="minorEastAsia" w:cstheme="minorEastAsia"/>
          <w:color w:val="auto"/>
          <w:sz w:val="21"/>
          <w:szCs w:val="21"/>
          <w:highlight w:val="none"/>
        </w:rPr>
      </w:pPr>
    </w:p>
    <w:p w14:paraId="732E56B0">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供应商名称（单位盖公章）：</w:t>
      </w:r>
    </w:p>
    <w:p w14:paraId="197FA1CE">
      <w:pPr>
        <w:spacing w:line="360" w:lineRule="auto"/>
        <w:rPr>
          <w:rFonts w:hint="eastAsia" w:asciiTheme="minorEastAsia" w:hAnsiTheme="minorEastAsia" w:eastAsiaTheme="minorEastAsia" w:cstheme="minorEastAsia"/>
          <w:color w:val="auto"/>
          <w:sz w:val="21"/>
          <w:szCs w:val="21"/>
          <w:highlight w:val="none"/>
        </w:rPr>
      </w:pPr>
    </w:p>
    <w:p w14:paraId="6874C3C8">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法定代表人或其授权代表签名</w:t>
      </w:r>
      <w:r>
        <w:rPr>
          <w:rFonts w:hint="eastAsia" w:asciiTheme="minorEastAsia" w:hAnsiTheme="minorEastAsia" w:eastAsiaTheme="minorEastAsia" w:cstheme="minorEastAsia"/>
          <w:color w:val="auto"/>
          <w:sz w:val="21"/>
          <w:szCs w:val="21"/>
          <w:highlight w:val="none"/>
        </w:rPr>
        <w:t xml:space="preserve">：                    </w:t>
      </w:r>
    </w:p>
    <w:p w14:paraId="72EC03BB">
      <w:pPr>
        <w:spacing w:line="360" w:lineRule="auto"/>
        <w:rPr>
          <w:rFonts w:hint="eastAsia" w:asciiTheme="minorEastAsia" w:hAnsiTheme="minorEastAsia" w:eastAsiaTheme="minorEastAsia" w:cstheme="minorEastAsia"/>
          <w:color w:val="auto"/>
          <w:sz w:val="21"/>
          <w:szCs w:val="21"/>
          <w:highlight w:val="none"/>
        </w:rPr>
      </w:pPr>
    </w:p>
    <w:p w14:paraId="39251A26">
      <w:pPr>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5A90C06C">
      <w:pPr>
        <w:spacing w:line="360" w:lineRule="auto"/>
        <w:rPr>
          <w:rFonts w:hint="eastAsia" w:asciiTheme="minorEastAsia" w:hAnsiTheme="minorEastAsia" w:eastAsiaTheme="minorEastAsia" w:cstheme="minorEastAsia"/>
          <w:color w:val="auto"/>
          <w:sz w:val="21"/>
          <w:szCs w:val="21"/>
          <w:highlight w:val="none"/>
        </w:rPr>
      </w:pPr>
    </w:p>
    <w:p w14:paraId="6D920216">
      <w:pPr>
        <w:pStyle w:val="42"/>
        <w:ind w:firstLine="210"/>
        <w:rPr>
          <w:rFonts w:hint="eastAsia" w:asciiTheme="minorEastAsia" w:hAnsiTheme="minorEastAsia" w:eastAsiaTheme="minorEastAsia" w:cstheme="minorEastAsia"/>
          <w:color w:val="auto"/>
          <w:sz w:val="21"/>
          <w:szCs w:val="21"/>
          <w:highlight w:val="none"/>
        </w:rPr>
      </w:pPr>
    </w:p>
    <w:p w14:paraId="3835349F">
      <w:pPr>
        <w:pStyle w:val="42"/>
        <w:ind w:firstLine="210"/>
        <w:rPr>
          <w:rFonts w:hint="eastAsia" w:asciiTheme="minorEastAsia" w:hAnsiTheme="minorEastAsia" w:eastAsiaTheme="minorEastAsia" w:cstheme="minorEastAsia"/>
          <w:color w:val="auto"/>
          <w:sz w:val="21"/>
          <w:szCs w:val="21"/>
          <w:highlight w:val="none"/>
        </w:rPr>
      </w:pPr>
    </w:p>
    <w:p w14:paraId="1818D5FB">
      <w:pPr>
        <w:pStyle w:val="42"/>
        <w:ind w:firstLine="0" w:firstLineChars="0"/>
        <w:rPr>
          <w:rFonts w:hint="eastAsia" w:asciiTheme="minorEastAsia" w:hAnsiTheme="minorEastAsia" w:eastAsiaTheme="minorEastAsia" w:cstheme="minorEastAsia"/>
          <w:color w:val="auto"/>
          <w:sz w:val="21"/>
          <w:szCs w:val="21"/>
          <w:highlight w:val="none"/>
        </w:rPr>
      </w:pPr>
    </w:p>
    <w:p w14:paraId="09C076B6">
      <w:pPr>
        <w:pStyle w:val="42"/>
        <w:ind w:firstLine="0" w:firstLineChars="0"/>
        <w:rPr>
          <w:rFonts w:hint="eastAsia" w:asciiTheme="minorEastAsia" w:hAnsiTheme="minorEastAsia" w:eastAsiaTheme="minorEastAsia" w:cstheme="minorEastAsia"/>
          <w:color w:val="auto"/>
          <w:sz w:val="21"/>
          <w:szCs w:val="21"/>
          <w:highlight w:val="none"/>
        </w:rPr>
      </w:pPr>
    </w:p>
    <w:p w14:paraId="4974672B">
      <w:pPr>
        <w:pStyle w:val="42"/>
        <w:ind w:firstLine="0" w:firstLineChars="0"/>
        <w:rPr>
          <w:rFonts w:hint="eastAsia" w:asciiTheme="minorEastAsia" w:hAnsiTheme="minorEastAsia" w:eastAsiaTheme="minorEastAsia" w:cstheme="minorEastAsia"/>
          <w:color w:val="auto"/>
          <w:sz w:val="21"/>
          <w:szCs w:val="21"/>
          <w:highlight w:val="none"/>
        </w:rPr>
      </w:pPr>
    </w:p>
    <w:p w14:paraId="6A3EA650">
      <w:pPr>
        <w:pStyle w:val="42"/>
        <w:ind w:firstLine="0" w:firstLineChars="0"/>
        <w:rPr>
          <w:rFonts w:hint="eastAsia" w:asciiTheme="minorEastAsia" w:hAnsiTheme="minorEastAsia" w:eastAsiaTheme="minorEastAsia" w:cstheme="minorEastAsia"/>
          <w:color w:val="auto"/>
          <w:sz w:val="21"/>
          <w:szCs w:val="21"/>
          <w:highlight w:val="none"/>
        </w:rPr>
      </w:pPr>
    </w:p>
    <w:p w14:paraId="6A267A9D">
      <w:pPr>
        <w:pStyle w:val="42"/>
        <w:ind w:firstLine="0" w:firstLineChars="0"/>
        <w:rPr>
          <w:rFonts w:hint="eastAsia" w:asciiTheme="minorEastAsia" w:hAnsiTheme="minorEastAsia" w:eastAsiaTheme="minorEastAsia" w:cstheme="minorEastAsia"/>
          <w:color w:val="auto"/>
          <w:sz w:val="21"/>
          <w:szCs w:val="21"/>
          <w:highlight w:val="none"/>
        </w:rPr>
      </w:pPr>
    </w:p>
    <w:p w14:paraId="4CF6997E">
      <w:pPr>
        <w:pStyle w:val="42"/>
        <w:ind w:firstLine="0" w:firstLineChars="0"/>
        <w:rPr>
          <w:rFonts w:hint="eastAsia" w:asciiTheme="minorEastAsia" w:hAnsiTheme="minorEastAsia" w:eastAsiaTheme="minorEastAsia" w:cstheme="minorEastAsia"/>
          <w:color w:val="auto"/>
          <w:sz w:val="21"/>
          <w:szCs w:val="21"/>
          <w:highlight w:val="none"/>
        </w:rPr>
      </w:pPr>
    </w:p>
    <w:p w14:paraId="0134D890">
      <w:pPr>
        <w:pStyle w:val="42"/>
        <w:ind w:firstLine="0" w:firstLineChars="0"/>
        <w:rPr>
          <w:rFonts w:hint="eastAsia" w:asciiTheme="minorEastAsia" w:hAnsiTheme="minorEastAsia" w:eastAsiaTheme="minorEastAsia" w:cstheme="minorEastAsia"/>
          <w:color w:val="auto"/>
          <w:sz w:val="21"/>
          <w:szCs w:val="21"/>
          <w:highlight w:val="none"/>
        </w:rPr>
      </w:pPr>
    </w:p>
    <w:p w14:paraId="4266AD2B">
      <w:pPr>
        <w:pStyle w:val="42"/>
        <w:ind w:firstLine="0" w:firstLineChars="0"/>
        <w:rPr>
          <w:rFonts w:hint="eastAsia" w:asciiTheme="minorEastAsia" w:hAnsiTheme="minorEastAsia" w:eastAsiaTheme="minorEastAsia" w:cstheme="minorEastAsia"/>
          <w:color w:val="auto"/>
          <w:sz w:val="21"/>
          <w:szCs w:val="21"/>
          <w:highlight w:val="none"/>
        </w:rPr>
      </w:pPr>
    </w:p>
    <w:p w14:paraId="51A8C16D">
      <w:pPr>
        <w:pStyle w:val="42"/>
        <w:ind w:firstLine="0" w:firstLineChars="0"/>
        <w:rPr>
          <w:rFonts w:hint="eastAsia" w:asciiTheme="minorEastAsia" w:hAnsiTheme="minorEastAsia" w:eastAsiaTheme="minorEastAsia" w:cstheme="minorEastAsia"/>
          <w:color w:val="auto"/>
          <w:sz w:val="21"/>
          <w:szCs w:val="21"/>
          <w:highlight w:val="none"/>
        </w:rPr>
      </w:pPr>
    </w:p>
    <w:p w14:paraId="3B3F3A71">
      <w:pPr>
        <w:pStyle w:val="42"/>
        <w:ind w:firstLine="210"/>
        <w:rPr>
          <w:rFonts w:hint="eastAsia" w:asciiTheme="minorEastAsia" w:hAnsiTheme="minorEastAsia" w:eastAsiaTheme="minorEastAsia" w:cstheme="minorEastAsia"/>
          <w:color w:val="auto"/>
          <w:sz w:val="21"/>
          <w:szCs w:val="21"/>
          <w:highlight w:val="none"/>
        </w:rPr>
      </w:pPr>
    </w:p>
    <w:p w14:paraId="35B691DC">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4F28A317">
      <w:pPr>
        <w:rPr>
          <w:rFonts w:hint="eastAsia" w:asciiTheme="minorEastAsia" w:hAnsiTheme="minorEastAsia" w:eastAsiaTheme="minorEastAsia" w:cstheme="minorEastAsia"/>
          <w:color w:val="auto"/>
          <w:sz w:val="21"/>
          <w:szCs w:val="21"/>
          <w:highlight w:val="none"/>
        </w:rPr>
      </w:pPr>
    </w:p>
    <w:p w14:paraId="0A7F498E">
      <w:pPr>
        <w:rPr>
          <w:rFonts w:hint="eastAsia" w:asciiTheme="minorEastAsia" w:hAnsiTheme="minorEastAsia" w:eastAsiaTheme="minorEastAsia" w:cstheme="minorEastAsia"/>
          <w:color w:val="auto"/>
          <w:sz w:val="21"/>
          <w:szCs w:val="21"/>
          <w:highlight w:val="none"/>
        </w:rPr>
      </w:pPr>
    </w:p>
    <w:p w14:paraId="72B3CD10">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5D573C8C">
      <w:pPr>
        <w:rPr>
          <w:rFonts w:hint="eastAsia"/>
        </w:rPr>
      </w:pPr>
    </w:p>
    <w:p w14:paraId="6C19002B">
      <w:pPr>
        <w:pStyle w:val="30"/>
        <w:tabs>
          <w:tab w:val="left" w:pos="3420"/>
          <w:tab w:val="clear" w:pos="9499"/>
        </w:tabs>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val="0"/>
          <w:color w:val="auto"/>
          <w:sz w:val="32"/>
          <w:szCs w:val="32"/>
          <w:highlight w:val="none"/>
        </w:rPr>
        <w:t>表6  投标承诺书</w:t>
      </w:r>
      <w:r>
        <w:rPr>
          <w:rFonts w:hint="eastAsia" w:asciiTheme="minorEastAsia" w:hAnsiTheme="minorEastAsia" w:eastAsiaTheme="minorEastAsia" w:cstheme="minorEastAsia"/>
          <w:color w:val="auto"/>
          <w:sz w:val="21"/>
          <w:szCs w:val="21"/>
          <w:highlight w:val="none"/>
        </w:rPr>
        <w:tab/>
      </w:r>
    </w:p>
    <w:p w14:paraId="52F76752">
      <w:pPr>
        <w:keepNext w:val="0"/>
        <w:keepLines w:val="0"/>
        <w:pageBreakBefore w:val="0"/>
        <w:kinsoku/>
        <w:wordWrap/>
        <w:overflowPunct/>
        <w:topLinePunct w:val="0"/>
        <w:autoSpaceDE/>
        <w:autoSpaceDN/>
        <w:bidi w:val="0"/>
        <w:spacing w:after="120" w:afterLines="50" w:line="360" w:lineRule="auto"/>
        <w:textAlignment w:val="auto"/>
        <w:rPr>
          <w:rFonts w:hint="eastAsia" w:asciiTheme="minorEastAsia" w:hAnsiTheme="minorEastAsia" w:eastAsiaTheme="minorEastAsia" w:cstheme="minorEastAsia"/>
          <w:b/>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b/>
          <w:color w:val="auto"/>
          <w:sz w:val="21"/>
          <w:szCs w:val="21"/>
          <w:highlight w:val="none"/>
          <w:u w:val="single"/>
        </w:rPr>
        <w:t xml:space="preserve"> ：</w:t>
      </w:r>
    </w:p>
    <w:p w14:paraId="4E11AF4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已详细阅读了</w:t>
      </w:r>
      <w:r>
        <w:rPr>
          <w:rFonts w:hint="eastAsia" w:asciiTheme="minorEastAsia" w:hAnsiTheme="minorEastAsia" w:eastAsiaTheme="minorEastAsia" w:cstheme="minorEastAsia"/>
          <w:color w:val="auto"/>
          <w:sz w:val="21"/>
          <w:szCs w:val="21"/>
          <w:highlight w:val="none"/>
          <w:u w:val="single"/>
        </w:rPr>
        <w:t xml:space="preserve">  （项目名称）  </w:t>
      </w:r>
      <w:r>
        <w:rPr>
          <w:rFonts w:hint="eastAsia" w:asciiTheme="minorEastAsia" w:hAnsiTheme="minorEastAsia" w:eastAsiaTheme="minorEastAsia" w:cstheme="minorEastAsia"/>
          <w:color w:val="auto"/>
          <w:sz w:val="21"/>
          <w:szCs w:val="21"/>
          <w:highlight w:val="none"/>
        </w:rPr>
        <w:t>采购文件，自愿参加上述项目</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，现就有关事项向</w:t>
      </w:r>
      <w:r>
        <w:rPr>
          <w:rFonts w:hint="eastAsia" w:asciiTheme="minorEastAsia" w:hAnsiTheme="minorEastAsia" w:eastAsiaTheme="minorEastAsia" w:cstheme="minorEastAsia"/>
          <w:color w:val="auto"/>
          <w:sz w:val="21"/>
          <w:szCs w:val="21"/>
          <w:highlight w:val="none"/>
          <w:u w:val="single"/>
        </w:rPr>
        <w:t>采购单位</w:t>
      </w:r>
      <w:r>
        <w:rPr>
          <w:rFonts w:hint="eastAsia" w:asciiTheme="minorEastAsia" w:hAnsiTheme="minorEastAsia" w:eastAsiaTheme="minorEastAsia" w:cstheme="minorEastAsia"/>
          <w:color w:val="auto"/>
          <w:sz w:val="21"/>
          <w:szCs w:val="21"/>
          <w:highlight w:val="none"/>
        </w:rPr>
        <w:t>郑重承诺如下：</w:t>
      </w:r>
    </w:p>
    <w:p w14:paraId="78DDDDE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人自愿在采购文件规定的时限内按照</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文件、用户需求书、技术规范等要求完成采购任务，按时完成并验收合格。服务质量按照采购文件的承诺并满足采购文件要求。</w:t>
      </w:r>
    </w:p>
    <w:p w14:paraId="153B164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2.遵守中华人民共和国、广东省、中山市有关采购、招标投标的法律法规规定，自觉维护市场经济秩序。否则，同意被废除投标资格并接受相关监管部门处罚。</w:t>
      </w:r>
    </w:p>
    <w:p w14:paraId="008156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文件内容无任何虚假。若评标过程中查出有虚假，同意作无效</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文件处理并接受相关监管部门处罚，若中标之后查出有虚假，同意废除中标资格并接受相关监管部门处罚。</w:t>
      </w:r>
    </w:p>
    <w:p w14:paraId="26A5FDA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文件不存在低于成本的恶意报价行为。</w:t>
      </w:r>
    </w:p>
    <w:p w14:paraId="76C6455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5.保证</w:t>
      </w:r>
      <w:r>
        <w:rPr>
          <w:rFonts w:hint="eastAsia" w:asciiTheme="minorEastAsia" w:hAnsiTheme="minorEastAsia" w:eastAsiaTheme="minorEastAsia" w:cstheme="minorEastAsia"/>
          <w:color w:val="auto"/>
          <w:sz w:val="21"/>
          <w:szCs w:val="21"/>
          <w:highlight w:val="none"/>
        </w:rPr>
        <w:t>无围标、串标行为</w:t>
      </w:r>
      <w:r>
        <w:rPr>
          <w:rFonts w:hint="eastAsia" w:asciiTheme="minorEastAsia" w:hAnsiTheme="minorEastAsia" w:eastAsiaTheme="minorEastAsia" w:cstheme="minorEastAsia"/>
          <w:color w:val="auto"/>
          <w:sz w:val="21"/>
          <w:szCs w:val="21"/>
          <w:highlight w:val="none"/>
          <w:lang w:eastAsia="zh-CN"/>
        </w:rPr>
        <w:t>。</w:t>
      </w:r>
    </w:p>
    <w:p w14:paraId="30C585D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.保证按照采购文件及中标通知书规定商签采购合同。否则，同意接受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人违约处罚。</w:t>
      </w:r>
    </w:p>
    <w:p w14:paraId="367692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.保证按照采购合同约定完成采购合同范围内的全部内容，履行保修责任。否则，同意接受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人对投标人违约处理。</w:t>
      </w:r>
    </w:p>
    <w:p w14:paraId="6770344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.保证中标之后不转包，若分包将征得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人同意并遵守相关法律法规。</w:t>
      </w:r>
    </w:p>
    <w:p w14:paraId="463827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.保证中标之后按</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文件要求向</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项目配置承诺的资源，否则，同意接受违约处罚。</w:t>
      </w:r>
    </w:p>
    <w:p w14:paraId="442360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.保证中标之后密切配合</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人开展工作，接受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人的监督管理。</w:t>
      </w:r>
    </w:p>
    <w:p w14:paraId="7F873B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.保证按</w:t>
      </w:r>
      <w:r>
        <w:rPr>
          <w:rFonts w:hint="eastAsia" w:asciiTheme="minorEastAsia" w:hAnsiTheme="minorEastAsia" w:eastAsiaTheme="minorEastAsia" w:cstheme="minorEastAsia"/>
          <w:color w:val="auto"/>
          <w:sz w:val="21"/>
          <w:szCs w:val="21"/>
          <w:highlight w:val="none"/>
          <w:lang w:val="en-US" w:eastAsia="zh-CN"/>
        </w:rPr>
        <w:t>招标采购</w:t>
      </w:r>
      <w:r>
        <w:rPr>
          <w:rFonts w:hint="eastAsia" w:asciiTheme="minorEastAsia" w:hAnsiTheme="minorEastAsia" w:eastAsiaTheme="minorEastAsia" w:cstheme="minorEastAsia"/>
          <w:color w:val="auto"/>
          <w:sz w:val="21"/>
          <w:szCs w:val="21"/>
          <w:highlight w:val="none"/>
        </w:rPr>
        <w:t>文件及采购合同约定的原则处理采购调整事宜，不发生签署采购合同之后恶意索赔的行为。</w:t>
      </w:r>
    </w:p>
    <w:p w14:paraId="72F47A3E">
      <w:pPr>
        <w:pStyle w:val="2"/>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12.保证</w:t>
      </w:r>
      <w:r>
        <w:rPr>
          <w:rFonts w:hint="eastAsia" w:asciiTheme="minorEastAsia" w:hAnsiTheme="minorEastAsia" w:eastAsiaTheme="minorEastAsia" w:cstheme="minorEastAsia"/>
          <w:b w:val="0"/>
          <w:bCs w:val="0"/>
          <w:color w:val="auto"/>
          <w:kern w:val="2"/>
          <w:sz w:val="21"/>
          <w:szCs w:val="21"/>
          <w:highlight w:val="none"/>
          <w:lang w:val="en-US" w:eastAsia="zh-CN" w:bidi="ar-SA"/>
        </w:rPr>
        <w:t>不发生商业贿赂行为，不进行可能影响招投标、评标、定标过程公平、公正的任何不正当活动。</w:t>
      </w:r>
    </w:p>
    <w:p w14:paraId="6E3E6F4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人在规定的</w:t>
      </w: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有效期限内（本项目投标有效期为60日），将受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文件的约束并履行</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文件的承诺。</w:t>
      </w:r>
    </w:p>
    <w:p w14:paraId="3ABBA264">
      <w:pPr>
        <w:keepNext w:val="0"/>
        <w:keepLines w:val="0"/>
        <w:pageBreakBefore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5842941B">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p>
    <w:p w14:paraId="51ED4BDE">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投标人法定代表人（或法定代表人授权代表）签字：</w:t>
      </w:r>
    </w:p>
    <w:p w14:paraId="41C01444">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投标人名称（签章）：</w:t>
      </w:r>
    </w:p>
    <w:p w14:paraId="25A3D72F">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2F85EB50">
      <w:pPr>
        <w:pStyle w:val="90"/>
        <w:keepNext w:val="0"/>
        <w:keepLines w:val="0"/>
        <w:pageBreakBefore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p>
    <w:sectPr>
      <w:headerReference r:id="rId8" w:type="default"/>
      <w:headerReference r:id="rId9" w:type="even"/>
      <w:pgSz w:w="11906" w:h="16838"/>
      <w:pgMar w:top="1440" w:right="1134" w:bottom="1440" w:left="1134" w:header="794" w:footer="79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593E">
    <w:pPr>
      <w:pStyle w:val="2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uCFsgBAACa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fLghbIAQAAmgMAAA4AAAAAAAAAAQAgAAAAHgEAAGRycy9lMm9Eb2Mu&#10;eG1sUEsFBgAAAAAGAAYAWQEAAFgFAAAAAA==&#10;">
              <v:fill on="f" focussize="0,0"/>
              <v:stroke on="f"/>
              <v:imagedata o:title=""/>
              <o:lock v:ext="edit" aspectratio="f"/>
              <v:textbox inset="0mm,0mm,0mm,0mm" style="mso-fit-shape-to-text:t;">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722E">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C6E5">
    <w:pPr>
      <w:spacing w:line="500" w:lineRule="exact"/>
      <w:jc w:val="both"/>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D4D1">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78AD">
    <w:pPr>
      <w:spacing w:line="500" w:lineRule="exact"/>
      <w:jc w:val="center"/>
      <w:rPr>
        <w:rFonts w:hint="eastAsia" w:ascii="宋体" w:hAnsi="宋体" w:eastAsia="宋体"/>
        <w:b/>
        <w:spacing w:val="80"/>
        <w:sz w:val="21"/>
        <w:szCs w:val="21"/>
        <w:lang w:eastAsia="zh-CN"/>
      </w:rPr>
    </w:pPr>
    <w:r>
      <w:rPr>
        <w:rFonts w:hint="eastAsia" w:ascii="宋体" w:hAnsi="宋体" w:cs="宋体"/>
        <w:bCs/>
        <w:sz w:val="21"/>
        <w:szCs w:val="21"/>
        <w:lang w:eastAsia="zh-CN"/>
      </w:rPr>
      <w:t>中山市古镇人民医院PACS扩容网络存储设备采购项目</w:t>
    </w:r>
  </w:p>
  <w:p w14:paraId="5045BC7B">
    <w:pPr>
      <w:spacing w:line="500" w:lineRule="exact"/>
      <w:ind w:left="880" w:hanging="420" w:hangingChars="200"/>
      <w:jc w:val="center"/>
      <w:rPr>
        <w:rFonts w:hint="eastAsia" w:ascii="宋体" w:hAnsi="宋体" w:cs="宋体"/>
        <w:bCs/>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AF9E">
    <w:pPr>
      <w:pBdr>
        <w:bottom w:val="none" w:color="auto" w:sz="0" w:space="0"/>
      </w:pBdr>
      <w:spacing w:line="500" w:lineRule="exact"/>
      <w:jc w:val="center"/>
      <w:rPr>
        <w:rFonts w:hint="eastAsia" w:ascii="宋体" w:hAnsi="宋体" w:eastAsia="宋体"/>
        <w:b/>
        <w:spacing w:val="80"/>
        <w:sz w:val="21"/>
        <w:szCs w:val="21"/>
        <w:lang w:eastAsia="zh-CN"/>
      </w:rPr>
    </w:pPr>
    <w:r>
      <w:rPr>
        <w:rFonts w:hint="eastAsia" w:ascii="宋体" w:hAnsi="宋体" w:cs="宋体"/>
        <w:bCs/>
        <w:sz w:val="21"/>
        <w:szCs w:val="21"/>
        <w:lang w:eastAsia="zh-CN"/>
      </w:rPr>
      <w:t>中山市古镇人民医院PACS扩容网络存储设备采购项目</w:t>
    </w:r>
  </w:p>
  <w:p w14:paraId="0A5609C3">
    <w:pPr>
      <w:pStyle w:val="29"/>
      <w:pBdr>
        <w:bottom w:val="none" w:color="auto" w:sz="0" w:space="1"/>
      </w:pBdr>
      <w:jc w:val="both"/>
      <w:rPr>
        <w:rFonts w:hint="eastAsia"/>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60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ADE4"/>
    <w:multiLevelType w:val="singleLevel"/>
    <w:tmpl w:val="84C1ADE4"/>
    <w:lvl w:ilvl="0" w:tentative="0">
      <w:start w:val="14"/>
      <w:numFmt w:val="chineseCounting"/>
      <w:suff w:val="nothing"/>
      <w:lvlText w:val="%1、"/>
      <w:lvlJc w:val="left"/>
      <w:rPr>
        <w:rFonts w:hint="eastAsia"/>
      </w:rPr>
    </w:lvl>
  </w:abstractNum>
  <w:abstractNum w:abstractNumId="1">
    <w:nsid w:val="CEB33520"/>
    <w:multiLevelType w:val="singleLevel"/>
    <w:tmpl w:val="CEB33520"/>
    <w:lvl w:ilvl="0" w:tentative="0">
      <w:start w:val="1"/>
      <w:numFmt w:val="chineseCounting"/>
      <w:suff w:val="nothing"/>
      <w:lvlText w:val="%1、"/>
      <w:lvlJc w:val="left"/>
      <w:rPr>
        <w:rFonts w:hint="eastAsia"/>
      </w:rPr>
    </w:lvl>
  </w:abstractNum>
  <w:abstractNum w:abstractNumId="2">
    <w:nsid w:val="F836EC91"/>
    <w:multiLevelType w:val="singleLevel"/>
    <w:tmpl w:val="F836EC91"/>
    <w:lvl w:ilvl="0" w:tentative="0">
      <w:start w:val="1"/>
      <w:numFmt w:val="decimal"/>
      <w:suff w:val="nothing"/>
      <w:lvlText w:val="%1、"/>
      <w:lvlJc w:val="left"/>
    </w:lvl>
  </w:abstractNum>
  <w:abstractNum w:abstractNumId="3">
    <w:nsid w:val="38A541DC"/>
    <w:multiLevelType w:val="singleLevel"/>
    <w:tmpl w:val="38A541DC"/>
    <w:lvl w:ilvl="0" w:tentative="0">
      <w:start w:val="3"/>
      <w:numFmt w:val="chineseCounting"/>
      <w:suff w:val="nothing"/>
      <w:lvlText w:val="（%1）"/>
      <w:lvlJc w:val="left"/>
      <w:rPr>
        <w:rFonts w:hint="eastAsia"/>
      </w:rPr>
    </w:lvl>
  </w:abstractNum>
  <w:abstractNum w:abstractNumId="4">
    <w:nsid w:val="394C01E4"/>
    <w:multiLevelType w:val="singleLevel"/>
    <w:tmpl w:val="394C01E4"/>
    <w:lvl w:ilvl="0" w:tentative="0">
      <w:start w:val="1"/>
      <w:numFmt w:val="decimal"/>
      <w:suff w:val="nothing"/>
      <w:lvlText w:val="%1、"/>
      <w:lvlJc w:val="left"/>
    </w:lvl>
  </w:abstractNum>
  <w:abstractNum w:abstractNumId="5">
    <w:nsid w:val="3C5423C6"/>
    <w:multiLevelType w:val="singleLevel"/>
    <w:tmpl w:val="3C5423C6"/>
    <w:lvl w:ilvl="0" w:tentative="0">
      <w:start w:val="1"/>
      <w:numFmt w:val="decimal"/>
      <w:pStyle w:val="96"/>
      <w:lvlText w:val="%1、"/>
      <w:lvlJc w:val="left"/>
      <w:pPr>
        <w:tabs>
          <w:tab w:val="left" w:pos="948"/>
        </w:tabs>
        <w:ind w:left="948" w:hanging="360"/>
      </w:pPr>
      <w:rPr>
        <w:rFonts w:hint="eastAsia"/>
      </w:rPr>
    </w:lvl>
  </w:abstractNum>
  <w:abstractNum w:abstractNumId="6">
    <w:nsid w:val="5366227C"/>
    <w:multiLevelType w:val="singleLevel"/>
    <w:tmpl w:val="5366227C"/>
    <w:lvl w:ilvl="0" w:tentative="0">
      <w:start w:val="1"/>
      <w:numFmt w:val="decimal"/>
      <w:suff w:val="nothing"/>
      <w:lvlText w:val="%1．"/>
      <w:lvlJc w:val="left"/>
    </w:lvl>
  </w:abstractNum>
  <w:abstractNum w:abstractNumId="7">
    <w:nsid w:val="5AFEB178"/>
    <w:multiLevelType w:val="singleLevel"/>
    <w:tmpl w:val="5AFEB178"/>
    <w:lvl w:ilvl="0" w:tentative="0">
      <w:start w:val="1"/>
      <w:numFmt w:val="decimal"/>
      <w:suff w:val="space"/>
      <w:lvlText w:val="%1."/>
      <w:lvlJc w:val="left"/>
    </w:lvl>
  </w:abstractNum>
  <w:abstractNum w:abstractNumId="8">
    <w:nsid w:val="66232511"/>
    <w:multiLevelType w:val="multilevel"/>
    <w:tmpl w:val="66232511"/>
    <w:lvl w:ilvl="0" w:tentative="0">
      <w:start w:val="1"/>
      <w:numFmt w:val="decimal"/>
      <w:pStyle w:val="84"/>
      <w:lvlText w:val="3.%1."/>
      <w:lvlJc w:val="left"/>
      <w:pPr>
        <w:tabs>
          <w:tab w:val="left" w:pos="510"/>
        </w:tabs>
        <w:ind w:left="510" w:hanging="510"/>
      </w:pPr>
      <w:rPr>
        <w:rFonts w:hint="eastAsia"/>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23DE2E0"/>
    <w:multiLevelType w:val="singleLevel"/>
    <w:tmpl w:val="723DE2E0"/>
    <w:lvl w:ilvl="0" w:tentative="0">
      <w:start w:val="1"/>
      <w:numFmt w:val="decimal"/>
      <w:suff w:val="space"/>
      <w:lvlText w:val="%1."/>
      <w:lvlJc w:val="left"/>
    </w:lvl>
  </w:abstractNum>
  <w:num w:numId="1">
    <w:abstractNumId w:val="8"/>
  </w:num>
  <w:num w:numId="2">
    <w:abstractNumId w:val="5"/>
  </w:num>
  <w:num w:numId="3">
    <w:abstractNumId w:val="1"/>
  </w:num>
  <w:num w:numId="4">
    <w:abstractNumId w:val="0"/>
  </w:num>
  <w:num w:numId="5">
    <w:abstractNumId w:val="3"/>
  </w:num>
  <w:num w:numId="6">
    <w:abstractNumId w:val="9"/>
  </w:num>
  <w:num w:numId="7">
    <w:abstractNumId w:val="2"/>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6"/>
  <w:drawingGridVerticalSpacing w:val="143"/>
  <w:displayHorizontalDrawingGridEvery w:val="1"/>
  <w:displayVerticalDrawingGridEvery w:val="1"/>
  <w:noPunctuationKerning w:val="1"/>
  <w:characterSpacingControl w:val="doNotCompress"/>
  <w:doNotValidateAgainstSchema/>
  <w:doNotDemarcateInvalidXml/>
  <w:hdrShapeDefaults>
    <o:shapelayout v:ext="edit">
      <o:idmap v:ext="edit" data="2"/>
    </o:shapelayout>
  </w:hdrShapeDefaults>
  <w:compat>
    <w:spaceForUL/>
    <w:doNotLeaveBackslashAlon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NjU5MzVmYjQ0YmE4MDUyZjJhM2NjZDYwNTZjMjEifQ=="/>
  </w:docVars>
  <w:rsids>
    <w:rsidRoot w:val="00172A27"/>
    <w:rsid w:val="000013C5"/>
    <w:rsid w:val="00002190"/>
    <w:rsid w:val="00006E75"/>
    <w:rsid w:val="0001088D"/>
    <w:rsid w:val="00012BE1"/>
    <w:rsid w:val="00017DA7"/>
    <w:rsid w:val="000228D2"/>
    <w:rsid w:val="00027ED4"/>
    <w:rsid w:val="000561F7"/>
    <w:rsid w:val="000620CA"/>
    <w:rsid w:val="00066C81"/>
    <w:rsid w:val="00073DA3"/>
    <w:rsid w:val="000835FD"/>
    <w:rsid w:val="000A56D3"/>
    <w:rsid w:val="000B2856"/>
    <w:rsid w:val="000D17B4"/>
    <w:rsid w:val="000D57C8"/>
    <w:rsid w:val="000E6230"/>
    <w:rsid w:val="000E7DBF"/>
    <w:rsid w:val="000F4EAA"/>
    <w:rsid w:val="00110130"/>
    <w:rsid w:val="00113F69"/>
    <w:rsid w:val="00120F69"/>
    <w:rsid w:val="00146979"/>
    <w:rsid w:val="0015283F"/>
    <w:rsid w:val="00152B8F"/>
    <w:rsid w:val="00153199"/>
    <w:rsid w:val="001655DB"/>
    <w:rsid w:val="001740E3"/>
    <w:rsid w:val="00177D27"/>
    <w:rsid w:val="00183DAF"/>
    <w:rsid w:val="0018663B"/>
    <w:rsid w:val="00187262"/>
    <w:rsid w:val="001C6077"/>
    <w:rsid w:val="001D3E7C"/>
    <w:rsid w:val="001D533A"/>
    <w:rsid w:val="001D7433"/>
    <w:rsid w:val="001E3FBC"/>
    <w:rsid w:val="001F11C2"/>
    <w:rsid w:val="001F2E6A"/>
    <w:rsid w:val="001F70A3"/>
    <w:rsid w:val="001F7D7A"/>
    <w:rsid w:val="002007E1"/>
    <w:rsid w:val="002129A0"/>
    <w:rsid w:val="002330E6"/>
    <w:rsid w:val="00233A77"/>
    <w:rsid w:val="00236FDD"/>
    <w:rsid w:val="00243AB2"/>
    <w:rsid w:val="002479D1"/>
    <w:rsid w:val="0025207E"/>
    <w:rsid w:val="002552EC"/>
    <w:rsid w:val="002617C8"/>
    <w:rsid w:val="00265C52"/>
    <w:rsid w:val="002709AC"/>
    <w:rsid w:val="002740C4"/>
    <w:rsid w:val="00286596"/>
    <w:rsid w:val="00297A62"/>
    <w:rsid w:val="002B3F08"/>
    <w:rsid w:val="002C4E5B"/>
    <w:rsid w:val="002D2AB1"/>
    <w:rsid w:val="002E533F"/>
    <w:rsid w:val="002F2392"/>
    <w:rsid w:val="002F3A9C"/>
    <w:rsid w:val="00305847"/>
    <w:rsid w:val="00307DDA"/>
    <w:rsid w:val="00320A7B"/>
    <w:rsid w:val="00326191"/>
    <w:rsid w:val="00330224"/>
    <w:rsid w:val="0033222D"/>
    <w:rsid w:val="00352F36"/>
    <w:rsid w:val="003579C8"/>
    <w:rsid w:val="00386005"/>
    <w:rsid w:val="00386CDE"/>
    <w:rsid w:val="003970E4"/>
    <w:rsid w:val="003D20B6"/>
    <w:rsid w:val="003D4820"/>
    <w:rsid w:val="003F1F0C"/>
    <w:rsid w:val="003F32F7"/>
    <w:rsid w:val="003F4CDC"/>
    <w:rsid w:val="004167F8"/>
    <w:rsid w:val="0041785C"/>
    <w:rsid w:val="00420C3C"/>
    <w:rsid w:val="00425D29"/>
    <w:rsid w:val="004271B5"/>
    <w:rsid w:val="00427EC2"/>
    <w:rsid w:val="00436C5B"/>
    <w:rsid w:val="00444101"/>
    <w:rsid w:val="00467F8E"/>
    <w:rsid w:val="00472D4A"/>
    <w:rsid w:val="00493142"/>
    <w:rsid w:val="00496A66"/>
    <w:rsid w:val="004972A9"/>
    <w:rsid w:val="004A4D85"/>
    <w:rsid w:val="004B7B6D"/>
    <w:rsid w:val="004C48EF"/>
    <w:rsid w:val="004E11A5"/>
    <w:rsid w:val="004F176C"/>
    <w:rsid w:val="004F4AA6"/>
    <w:rsid w:val="004F6B68"/>
    <w:rsid w:val="00522BB9"/>
    <w:rsid w:val="00545CCE"/>
    <w:rsid w:val="005510F7"/>
    <w:rsid w:val="00553C9B"/>
    <w:rsid w:val="00585D1A"/>
    <w:rsid w:val="00585EC2"/>
    <w:rsid w:val="005A338D"/>
    <w:rsid w:val="005F2A72"/>
    <w:rsid w:val="005F533F"/>
    <w:rsid w:val="00620D99"/>
    <w:rsid w:val="006330DE"/>
    <w:rsid w:val="006433BD"/>
    <w:rsid w:val="00651882"/>
    <w:rsid w:val="006566FB"/>
    <w:rsid w:val="00677A5E"/>
    <w:rsid w:val="00686C4E"/>
    <w:rsid w:val="00692FC9"/>
    <w:rsid w:val="00696959"/>
    <w:rsid w:val="006C657D"/>
    <w:rsid w:val="006D56CB"/>
    <w:rsid w:val="006E429A"/>
    <w:rsid w:val="006E782A"/>
    <w:rsid w:val="006F7F96"/>
    <w:rsid w:val="00720599"/>
    <w:rsid w:val="007455DF"/>
    <w:rsid w:val="007570CF"/>
    <w:rsid w:val="00763528"/>
    <w:rsid w:val="00764A92"/>
    <w:rsid w:val="007815CC"/>
    <w:rsid w:val="00786F46"/>
    <w:rsid w:val="007B2926"/>
    <w:rsid w:val="007B29AE"/>
    <w:rsid w:val="007B2B8A"/>
    <w:rsid w:val="007B6BBB"/>
    <w:rsid w:val="007D2497"/>
    <w:rsid w:val="007D2613"/>
    <w:rsid w:val="007D69B1"/>
    <w:rsid w:val="007F1B27"/>
    <w:rsid w:val="00807FD7"/>
    <w:rsid w:val="0081153E"/>
    <w:rsid w:val="00817FBD"/>
    <w:rsid w:val="00830662"/>
    <w:rsid w:val="00861B1D"/>
    <w:rsid w:val="00872083"/>
    <w:rsid w:val="008775F5"/>
    <w:rsid w:val="008A32AD"/>
    <w:rsid w:val="008A3BD6"/>
    <w:rsid w:val="008B15CB"/>
    <w:rsid w:val="008C6D1A"/>
    <w:rsid w:val="008D5CC4"/>
    <w:rsid w:val="008E6E60"/>
    <w:rsid w:val="00916150"/>
    <w:rsid w:val="00923DED"/>
    <w:rsid w:val="009279F7"/>
    <w:rsid w:val="00944B19"/>
    <w:rsid w:val="00947B10"/>
    <w:rsid w:val="009542A3"/>
    <w:rsid w:val="009735CD"/>
    <w:rsid w:val="009762A9"/>
    <w:rsid w:val="0098395A"/>
    <w:rsid w:val="009916B3"/>
    <w:rsid w:val="009A62F1"/>
    <w:rsid w:val="009B2199"/>
    <w:rsid w:val="009B3C93"/>
    <w:rsid w:val="009B7B60"/>
    <w:rsid w:val="009D03EB"/>
    <w:rsid w:val="009D3027"/>
    <w:rsid w:val="009F3768"/>
    <w:rsid w:val="009F558A"/>
    <w:rsid w:val="00A46AFE"/>
    <w:rsid w:val="00A50CB6"/>
    <w:rsid w:val="00A519D3"/>
    <w:rsid w:val="00A865E5"/>
    <w:rsid w:val="00A94043"/>
    <w:rsid w:val="00AB0F6E"/>
    <w:rsid w:val="00AC7EEC"/>
    <w:rsid w:val="00AD1426"/>
    <w:rsid w:val="00AF0772"/>
    <w:rsid w:val="00AF1302"/>
    <w:rsid w:val="00AF1630"/>
    <w:rsid w:val="00AF33B1"/>
    <w:rsid w:val="00AF4FB6"/>
    <w:rsid w:val="00B00295"/>
    <w:rsid w:val="00B22BE2"/>
    <w:rsid w:val="00B2553F"/>
    <w:rsid w:val="00B357ED"/>
    <w:rsid w:val="00B36DBC"/>
    <w:rsid w:val="00B55895"/>
    <w:rsid w:val="00B61768"/>
    <w:rsid w:val="00B73CB6"/>
    <w:rsid w:val="00B81ADD"/>
    <w:rsid w:val="00B84155"/>
    <w:rsid w:val="00BA7922"/>
    <w:rsid w:val="00BB5B0E"/>
    <w:rsid w:val="00BB6C7F"/>
    <w:rsid w:val="00BB6D28"/>
    <w:rsid w:val="00BD191B"/>
    <w:rsid w:val="00BE0FE4"/>
    <w:rsid w:val="00C0462D"/>
    <w:rsid w:val="00C147B9"/>
    <w:rsid w:val="00C27D8A"/>
    <w:rsid w:val="00C338C6"/>
    <w:rsid w:val="00C35AFE"/>
    <w:rsid w:val="00C377A4"/>
    <w:rsid w:val="00C46C41"/>
    <w:rsid w:val="00C572E7"/>
    <w:rsid w:val="00C621FB"/>
    <w:rsid w:val="00C74837"/>
    <w:rsid w:val="00C83F3A"/>
    <w:rsid w:val="00C922DF"/>
    <w:rsid w:val="00C92FF1"/>
    <w:rsid w:val="00C972A9"/>
    <w:rsid w:val="00C9756D"/>
    <w:rsid w:val="00CB5C93"/>
    <w:rsid w:val="00CC54BB"/>
    <w:rsid w:val="00CD2E13"/>
    <w:rsid w:val="00CE23B4"/>
    <w:rsid w:val="00CE69E7"/>
    <w:rsid w:val="00D02E7B"/>
    <w:rsid w:val="00D13B6E"/>
    <w:rsid w:val="00D34513"/>
    <w:rsid w:val="00D45033"/>
    <w:rsid w:val="00D878AF"/>
    <w:rsid w:val="00D90314"/>
    <w:rsid w:val="00DA45CA"/>
    <w:rsid w:val="00DA705B"/>
    <w:rsid w:val="00DC35E4"/>
    <w:rsid w:val="00DF3FCA"/>
    <w:rsid w:val="00E11104"/>
    <w:rsid w:val="00E242F5"/>
    <w:rsid w:val="00E41A47"/>
    <w:rsid w:val="00E520C1"/>
    <w:rsid w:val="00E52FF1"/>
    <w:rsid w:val="00E539C6"/>
    <w:rsid w:val="00E573E7"/>
    <w:rsid w:val="00E75D74"/>
    <w:rsid w:val="00E96898"/>
    <w:rsid w:val="00EA7D05"/>
    <w:rsid w:val="00EC25AF"/>
    <w:rsid w:val="00F00912"/>
    <w:rsid w:val="00F03187"/>
    <w:rsid w:val="00F050D3"/>
    <w:rsid w:val="00F20A16"/>
    <w:rsid w:val="00F23F72"/>
    <w:rsid w:val="00F57963"/>
    <w:rsid w:val="00F63DE1"/>
    <w:rsid w:val="00F75813"/>
    <w:rsid w:val="00F807B5"/>
    <w:rsid w:val="00F97598"/>
    <w:rsid w:val="00FA297E"/>
    <w:rsid w:val="00FC0DFE"/>
    <w:rsid w:val="00FC30AE"/>
    <w:rsid w:val="00FC4FB5"/>
    <w:rsid w:val="00FD0290"/>
    <w:rsid w:val="00FD0ED2"/>
    <w:rsid w:val="00FE1AF7"/>
    <w:rsid w:val="0119785A"/>
    <w:rsid w:val="015734D4"/>
    <w:rsid w:val="017E031A"/>
    <w:rsid w:val="01816880"/>
    <w:rsid w:val="01D024E5"/>
    <w:rsid w:val="022C7689"/>
    <w:rsid w:val="026456B8"/>
    <w:rsid w:val="02AD1871"/>
    <w:rsid w:val="031C69F7"/>
    <w:rsid w:val="032A0AC5"/>
    <w:rsid w:val="035B01A3"/>
    <w:rsid w:val="03AC3BF8"/>
    <w:rsid w:val="03BB4F41"/>
    <w:rsid w:val="03E835E4"/>
    <w:rsid w:val="03F4109D"/>
    <w:rsid w:val="046A349C"/>
    <w:rsid w:val="046C7B89"/>
    <w:rsid w:val="047C1B6B"/>
    <w:rsid w:val="052023D7"/>
    <w:rsid w:val="06134766"/>
    <w:rsid w:val="063E11BA"/>
    <w:rsid w:val="064A73D7"/>
    <w:rsid w:val="064D6E62"/>
    <w:rsid w:val="067B1C86"/>
    <w:rsid w:val="067D3496"/>
    <w:rsid w:val="06A607F6"/>
    <w:rsid w:val="06AB6BD1"/>
    <w:rsid w:val="06FD7602"/>
    <w:rsid w:val="070056BC"/>
    <w:rsid w:val="073A744C"/>
    <w:rsid w:val="07A1396F"/>
    <w:rsid w:val="07F370B3"/>
    <w:rsid w:val="089D2EAF"/>
    <w:rsid w:val="08B66886"/>
    <w:rsid w:val="09473F7B"/>
    <w:rsid w:val="0A030A28"/>
    <w:rsid w:val="0A950A33"/>
    <w:rsid w:val="0B44587A"/>
    <w:rsid w:val="0BD67151"/>
    <w:rsid w:val="0BED2F65"/>
    <w:rsid w:val="0C424BB8"/>
    <w:rsid w:val="0C5C6A9A"/>
    <w:rsid w:val="0CF748E3"/>
    <w:rsid w:val="0D654E89"/>
    <w:rsid w:val="0D832918"/>
    <w:rsid w:val="0D847289"/>
    <w:rsid w:val="0D8D6B46"/>
    <w:rsid w:val="0D9074CF"/>
    <w:rsid w:val="0DA1596B"/>
    <w:rsid w:val="0DF67105"/>
    <w:rsid w:val="0E3F3599"/>
    <w:rsid w:val="0E896A8A"/>
    <w:rsid w:val="0ED45634"/>
    <w:rsid w:val="0F503CB0"/>
    <w:rsid w:val="0F7A0E9D"/>
    <w:rsid w:val="0FCA2FDC"/>
    <w:rsid w:val="0FE469F1"/>
    <w:rsid w:val="10771035"/>
    <w:rsid w:val="1091643A"/>
    <w:rsid w:val="11071BA1"/>
    <w:rsid w:val="122D7CC8"/>
    <w:rsid w:val="123261AF"/>
    <w:rsid w:val="12943D8A"/>
    <w:rsid w:val="12F31522"/>
    <w:rsid w:val="12FD2641"/>
    <w:rsid w:val="13197900"/>
    <w:rsid w:val="14EF367A"/>
    <w:rsid w:val="14F170B7"/>
    <w:rsid w:val="15767E12"/>
    <w:rsid w:val="159C6C28"/>
    <w:rsid w:val="15A554A4"/>
    <w:rsid w:val="15D937A9"/>
    <w:rsid w:val="166E16B6"/>
    <w:rsid w:val="16B10858"/>
    <w:rsid w:val="16FD4C60"/>
    <w:rsid w:val="16FE4DEB"/>
    <w:rsid w:val="17112E08"/>
    <w:rsid w:val="173B7D36"/>
    <w:rsid w:val="175A5D05"/>
    <w:rsid w:val="17C5159F"/>
    <w:rsid w:val="180622FA"/>
    <w:rsid w:val="1809187D"/>
    <w:rsid w:val="180A6EF8"/>
    <w:rsid w:val="18DC38DE"/>
    <w:rsid w:val="19297320"/>
    <w:rsid w:val="19620CEE"/>
    <w:rsid w:val="19C63942"/>
    <w:rsid w:val="1A193C6E"/>
    <w:rsid w:val="1B1A2A74"/>
    <w:rsid w:val="1B240EA7"/>
    <w:rsid w:val="1BAE1990"/>
    <w:rsid w:val="1D1E5ACF"/>
    <w:rsid w:val="1D8A0415"/>
    <w:rsid w:val="1DCC6DD4"/>
    <w:rsid w:val="1E14072D"/>
    <w:rsid w:val="1E74728F"/>
    <w:rsid w:val="1E875EC5"/>
    <w:rsid w:val="1EB35649"/>
    <w:rsid w:val="1EFD1D5E"/>
    <w:rsid w:val="1F964814"/>
    <w:rsid w:val="1FD224BF"/>
    <w:rsid w:val="1FF8005E"/>
    <w:rsid w:val="20263177"/>
    <w:rsid w:val="209242EA"/>
    <w:rsid w:val="210270C6"/>
    <w:rsid w:val="217414EF"/>
    <w:rsid w:val="225400BF"/>
    <w:rsid w:val="227A5E9C"/>
    <w:rsid w:val="229B303C"/>
    <w:rsid w:val="22B05906"/>
    <w:rsid w:val="22B2528D"/>
    <w:rsid w:val="232D656B"/>
    <w:rsid w:val="23CD7397"/>
    <w:rsid w:val="24502730"/>
    <w:rsid w:val="24DE6319"/>
    <w:rsid w:val="24E66D03"/>
    <w:rsid w:val="2569273F"/>
    <w:rsid w:val="25A30C8A"/>
    <w:rsid w:val="25F56E22"/>
    <w:rsid w:val="26F54479"/>
    <w:rsid w:val="2741413A"/>
    <w:rsid w:val="27432F3D"/>
    <w:rsid w:val="27663E4A"/>
    <w:rsid w:val="279E60D9"/>
    <w:rsid w:val="27AF0378"/>
    <w:rsid w:val="27E54776"/>
    <w:rsid w:val="27EC74BF"/>
    <w:rsid w:val="283E6622"/>
    <w:rsid w:val="2899692A"/>
    <w:rsid w:val="289D3D91"/>
    <w:rsid w:val="28BE14E7"/>
    <w:rsid w:val="28C41631"/>
    <w:rsid w:val="29247F59"/>
    <w:rsid w:val="29526697"/>
    <w:rsid w:val="29CF181E"/>
    <w:rsid w:val="2A323939"/>
    <w:rsid w:val="2A3831EE"/>
    <w:rsid w:val="2A3E3C61"/>
    <w:rsid w:val="2A6262D7"/>
    <w:rsid w:val="2B7E07F1"/>
    <w:rsid w:val="2B8C029D"/>
    <w:rsid w:val="2C8965FC"/>
    <w:rsid w:val="2CAD701C"/>
    <w:rsid w:val="2D0564CB"/>
    <w:rsid w:val="2D1B476E"/>
    <w:rsid w:val="2D6B1AF4"/>
    <w:rsid w:val="2D827FF3"/>
    <w:rsid w:val="2D9B3963"/>
    <w:rsid w:val="2E060492"/>
    <w:rsid w:val="2E281D71"/>
    <w:rsid w:val="2E495725"/>
    <w:rsid w:val="2E4957EF"/>
    <w:rsid w:val="2E8B21B7"/>
    <w:rsid w:val="2ED10AE5"/>
    <w:rsid w:val="2F7E5FF2"/>
    <w:rsid w:val="304C1AB9"/>
    <w:rsid w:val="306B36DA"/>
    <w:rsid w:val="30A13A84"/>
    <w:rsid w:val="30A17824"/>
    <w:rsid w:val="30BE6E54"/>
    <w:rsid w:val="318423FF"/>
    <w:rsid w:val="31D743F7"/>
    <w:rsid w:val="32296F5A"/>
    <w:rsid w:val="325E0241"/>
    <w:rsid w:val="327E2F7F"/>
    <w:rsid w:val="32AB107A"/>
    <w:rsid w:val="32D5012A"/>
    <w:rsid w:val="32F03214"/>
    <w:rsid w:val="33D4567F"/>
    <w:rsid w:val="34655258"/>
    <w:rsid w:val="34C73600"/>
    <w:rsid w:val="34CF1F77"/>
    <w:rsid w:val="35124437"/>
    <w:rsid w:val="353926F5"/>
    <w:rsid w:val="35AD3FA0"/>
    <w:rsid w:val="35FB2318"/>
    <w:rsid w:val="36360C8C"/>
    <w:rsid w:val="36516A6B"/>
    <w:rsid w:val="365730D5"/>
    <w:rsid w:val="3699668B"/>
    <w:rsid w:val="36CF56CC"/>
    <w:rsid w:val="376D0FF4"/>
    <w:rsid w:val="37F9144A"/>
    <w:rsid w:val="38177EC3"/>
    <w:rsid w:val="39111E53"/>
    <w:rsid w:val="397E74E1"/>
    <w:rsid w:val="3A612966"/>
    <w:rsid w:val="3A7B7717"/>
    <w:rsid w:val="3A9C2652"/>
    <w:rsid w:val="3B046502"/>
    <w:rsid w:val="3B2B62BB"/>
    <w:rsid w:val="3B2D45F6"/>
    <w:rsid w:val="3B773963"/>
    <w:rsid w:val="3BCC6DE7"/>
    <w:rsid w:val="3BEB24E7"/>
    <w:rsid w:val="3C202033"/>
    <w:rsid w:val="3CA93FA1"/>
    <w:rsid w:val="3CC625C2"/>
    <w:rsid w:val="3CCB7F4E"/>
    <w:rsid w:val="3D252F8E"/>
    <w:rsid w:val="3D257C7B"/>
    <w:rsid w:val="3D2B10A7"/>
    <w:rsid w:val="3D31105B"/>
    <w:rsid w:val="3D8C7CFA"/>
    <w:rsid w:val="3E4A714D"/>
    <w:rsid w:val="3E646581"/>
    <w:rsid w:val="3E8E4922"/>
    <w:rsid w:val="3E9F1F4E"/>
    <w:rsid w:val="3EAB45EF"/>
    <w:rsid w:val="3F203291"/>
    <w:rsid w:val="3F76656C"/>
    <w:rsid w:val="3FA76ECD"/>
    <w:rsid w:val="406B089A"/>
    <w:rsid w:val="40DC5D23"/>
    <w:rsid w:val="40DE12CA"/>
    <w:rsid w:val="40F009FC"/>
    <w:rsid w:val="41262EC0"/>
    <w:rsid w:val="41744834"/>
    <w:rsid w:val="41DD20EE"/>
    <w:rsid w:val="426A0285"/>
    <w:rsid w:val="42B71C33"/>
    <w:rsid w:val="42C5358D"/>
    <w:rsid w:val="42E0248B"/>
    <w:rsid w:val="42E5710C"/>
    <w:rsid w:val="43157AFB"/>
    <w:rsid w:val="433D681C"/>
    <w:rsid w:val="434F5B3E"/>
    <w:rsid w:val="43FE121A"/>
    <w:rsid w:val="44356CE6"/>
    <w:rsid w:val="44496945"/>
    <w:rsid w:val="446C43E1"/>
    <w:rsid w:val="448159F5"/>
    <w:rsid w:val="449C0EA5"/>
    <w:rsid w:val="451D1EA6"/>
    <w:rsid w:val="452A0F74"/>
    <w:rsid w:val="45CC5E41"/>
    <w:rsid w:val="460573F1"/>
    <w:rsid w:val="463A5B67"/>
    <w:rsid w:val="463F4C19"/>
    <w:rsid w:val="46C95B1B"/>
    <w:rsid w:val="46FB6FA5"/>
    <w:rsid w:val="478E2DFE"/>
    <w:rsid w:val="484A7882"/>
    <w:rsid w:val="490A2CC0"/>
    <w:rsid w:val="49562FE0"/>
    <w:rsid w:val="497206AD"/>
    <w:rsid w:val="49B33379"/>
    <w:rsid w:val="4A013479"/>
    <w:rsid w:val="4A072F3A"/>
    <w:rsid w:val="4A195CD5"/>
    <w:rsid w:val="4A873D23"/>
    <w:rsid w:val="4ADD3943"/>
    <w:rsid w:val="4B316561"/>
    <w:rsid w:val="4B605E0C"/>
    <w:rsid w:val="4B665C57"/>
    <w:rsid w:val="4BA6467C"/>
    <w:rsid w:val="4BA947FE"/>
    <w:rsid w:val="4C1A6E46"/>
    <w:rsid w:val="4C833F59"/>
    <w:rsid w:val="4CFA01A1"/>
    <w:rsid w:val="4D1A5E76"/>
    <w:rsid w:val="4D4B6A26"/>
    <w:rsid w:val="4E067654"/>
    <w:rsid w:val="4E140C45"/>
    <w:rsid w:val="4E2F6B53"/>
    <w:rsid w:val="4F247D92"/>
    <w:rsid w:val="4FFF4D50"/>
    <w:rsid w:val="5016275B"/>
    <w:rsid w:val="50617052"/>
    <w:rsid w:val="506D2589"/>
    <w:rsid w:val="5145251D"/>
    <w:rsid w:val="51621FE6"/>
    <w:rsid w:val="51AB479B"/>
    <w:rsid w:val="51FB670C"/>
    <w:rsid w:val="52071974"/>
    <w:rsid w:val="52157B9E"/>
    <w:rsid w:val="525C5511"/>
    <w:rsid w:val="52DE5F3F"/>
    <w:rsid w:val="52FD115A"/>
    <w:rsid w:val="53252CB6"/>
    <w:rsid w:val="54663BB3"/>
    <w:rsid w:val="54C2149E"/>
    <w:rsid w:val="554A2D58"/>
    <w:rsid w:val="56000B25"/>
    <w:rsid w:val="56084354"/>
    <w:rsid w:val="567E09C8"/>
    <w:rsid w:val="5693273D"/>
    <w:rsid w:val="56A05FA3"/>
    <w:rsid w:val="56CC2801"/>
    <w:rsid w:val="56DA4CEC"/>
    <w:rsid w:val="56E80E23"/>
    <w:rsid w:val="570603D3"/>
    <w:rsid w:val="57316C99"/>
    <w:rsid w:val="578A1C12"/>
    <w:rsid w:val="57D40566"/>
    <w:rsid w:val="57F56C67"/>
    <w:rsid w:val="580738AF"/>
    <w:rsid w:val="59103135"/>
    <w:rsid w:val="593A793C"/>
    <w:rsid w:val="597170C2"/>
    <w:rsid w:val="59B03041"/>
    <w:rsid w:val="5A5B7493"/>
    <w:rsid w:val="5B1D6224"/>
    <w:rsid w:val="5B91516A"/>
    <w:rsid w:val="5BA32C19"/>
    <w:rsid w:val="5BD2515C"/>
    <w:rsid w:val="5C4F1EF7"/>
    <w:rsid w:val="5C5C4A25"/>
    <w:rsid w:val="5CF32854"/>
    <w:rsid w:val="5D451DB0"/>
    <w:rsid w:val="5D6323CD"/>
    <w:rsid w:val="5D68510D"/>
    <w:rsid w:val="5D9D595F"/>
    <w:rsid w:val="5E224810"/>
    <w:rsid w:val="5E420235"/>
    <w:rsid w:val="5ECC3FE5"/>
    <w:rsid w:val="5EDA046D"/>
    <w:rsid w:val="5F681F1D"/>
    <w:rsid w:val="5FAB5439"/>
    <w:rsid w:val="5FE429DF"/>
    <w:rsid w:val="612373B0"/>
    <w:rsid w:val="61393311"/>
    <w:rsid w:val="618A27E1"/>
    <w:rsid w:val="61A4221E"/>
    <w:rsid w:val="61E810F3"/>
    <w:rsid w:val="61F30454"/>
    <w:rsid w:val="6224586E"/>
    <w:rsid w:val="62344338"/>
    <w:rsid w:val="627602D0"/>
    <w:rsid w:val="62943029"/>
    <w:rsid w:val="629A2EF8"/>
    <w:rsid w:val="62E35759"/>
    <w:rsid w:val="6312009B"/>
    <w:rsid w:val="636E6E31"/>
    <w:rsid w:val="63787445"/>
    <w:rsid w:val="63AE33FE"/>
    <w:rsid w:val="63B86BDE"/>
    <w:rsid w:val="64680C65"/>
    <w:rsid w:val="646E6212"/>
    <w:rsid w:val="64F26FB7"/>
    <w:rsid w:val="650C6E11"/>
    <w:rsid w:val="658724AD"/>
    <w:rsid w:val="65EE681A"/>
    <w:rsid w:val="65FC5ADD"/>
    <w:rsid w:val="663A66D7"/>
    <w:rsid w:val="666557B4"/>
    <w:rsid w:val="67234B10"/>
    <w:rsid w:val="67532DC4"/>
    <w:rsid w:val="67625002"/>
    <w:rsid w:val="677E3881"/>
    <w:rsid w:val="68083FA4"/>
    <w:rsid w:val="68DB3E44"/>
    <w:rsid w:val="68DF1126"/>
    <w:rsid w:val="68E1689C"/>
    <w:rsid w:val="691D5216"/>
    <w:rsid w:val="6968642B"/>
    <w:rsid w:val="696D18C1"/>
    <w:rsid w:val="697E3B19"/>
    <w:rsid w:val="69A064AF"/>
    <w:rsid w:val="69FB573C"/>
    <w:rsid w:val="6A1F470B"/>
    <w:rsid w:val="6A5C1A45"/>
    <w:rsid w:val="6A757B36"/>
    <w:rsid w:val="6AA85036"/>
    <w:rsid w:val="6B2F7D93"/>
    <w:rsid w:val="6B737848"/>
    <w:rsid w:val="6B813B16"/>
    <w:rsid w:val="6BCC02F3"/>
    <w:rsid w:val="6C280767"/>
    <w:rsid w:val="6C89290E"/>
    <w:rsid w:val="6C98484F"/>
    <w:rsid w:val="6CB766C7"/>
    <w:rsid w:val="6CBF1C8E"/>
    <w:rsid w:val="6D145EE2"/>
    <w:rsid w:val="6D661B61"/>
    <w:rsid w:val="6D9410CB"/>
    <w:rsid w:val="6DA870F1"/>
    <w:rsid w:val="6DB70FA9"/>
    <w:rsid w:val="6E573888"/>
    <w:rsid w:val="6E77449C"/>
    <w:rsid w:val="6EEC0D56"/>
    <w:rsid w:val="6FBA7CCD"/>
    <w:rsid w:val="700A66D9"/>
    <w:rsid w:val="70172BA7"/>
    <w:rsid w:val="70CB273E"/>
    <w:rsid w:val="715C0087"/>
    <w:rsid w:val="7163130A"/>
    <w:rsid w:val="71645595"/>
    <w:rsid w:val="717B3BB4"/>
    <w:rsid w:val="71837B47"/>
    <w:rsid w:val="7189688F"/>
    <w:rsid w:val="718E1D53"/>
    <w:rsid w:val="71FA77AC"/>
    <w:rsid w:val="720C0528"/>
    <w:rsid w:val="72411EE4"/>
    <w:rsid w:val="72CF2E4A"/>
    <w:rsid w:val="736F7625"/>
    <w:rsid w:val="73846D82"/>
    <w:rsid w:val="73D73B3B"/>
    <w:rsid w:val="74263ACA"/>
    <w:rsid w:val="743E0D95"/>
    <w:rsid w:val="745919DD"/>
    <w:rsid w:val="749E0A93"/>
    <w:rsid w:val="74AF3BAB"/>
    <w:rsid w:val="75C64E50"/>
    <w:rsid w:val="761D2E3A"/>
    <w:rsid w:val="7670754D"/>
    <w:rsid w:val="76C2648A"/>
    <w:rsid w:val="78B063A8"/>
    <w:rsid w:val="78F94BD6"/>
    <w:rsid w:val="78FA03C5"/>
    <w:rsid w:val="799A2F4B"/>
    <w:rsid w:val="79B96CC5"/>
    <w:rsid w:val="7A0225B3"/>
    <w:rsid w:val="7A234B8F"/>
    <w:rsid w:val="7A704590"/>
    <w:rsid w:val="7AAA565D"/>
    <w:rsid w:val="7AB62CAB"/>
    <w:rsid w:val="7AFA698D"/>
    <w:rsid w:val="7B6867B6"/>
    <w:rsid w:val="7BAE0860"/>
    <w:rsid w:val="7C2645C2"/>
    <w:rsid w:val="7C306EB9"/>
    <w:rsid w:val="7C622D20"/>
    <w:rsid w:val="7CB728A5"/>
    <w:rsid w:val="7CDD6767"/>
    <w:rsid w:val="7CDE7D54"/>
    <w:rsid w:val="7DCA70CB"/>
    <w:rsid w:val="7DCE3C26"/>
    <w:rsid w:val="7DD548F7"/>
    <w:rsid w:val="7DFC2DA8"/>
    <w:rsid w:val="7E241233"/>
    <w:rsid w:val="7E3F60E7"/>
    <w:rsid w:val="7EE63EC7"/>
    <w:rsid w:val="7F3D0DCF"/>
    <w:rsid w:val="7F686F78"/>
    <w:rsid w:val="7FE41A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widowControl w:val="0"/>
      <w:tabs>
        <w:tab w:val="left" w:pos="840"/>
      </w:tabs>
      <w:adjustRightInd w:val="0"/>
      <w:snapToGrid w:val="0"/>
      <w:spacing w:line="360" w:lineRule="auto"/>
      <w:jc w:val="center"/>
      <w:outlineLvl w:val="0"/>
    </w:pPr>
    <w:rPr>
      <w:rFonts w:ascii="宋体" w:hAnsi="宋体"/>
      <w:b/>
      <w:kern w:val="44"/>
      <w:sz w:val="32"/>
      <w:szCs w:val="32"/>
    </w:rPr>
  </w:style>
  <w:style w:type="paragraph" w:styleId="4">
    <w:name w:val="heading 2"/>
    <w:basedOn w:val="1"/>
    <w:next w:val="1"/>
    <w:autoRedefine/>
    <w:qFormat/>
    <w:uiPriority w:val="0"/>
    <w:pPr>
      <w:keepNext/>
      <w:keepLines/>
      <w:adjustRightInd w:val="0"/>
      <w:snapToGrid w:val="0"/>
      <w:spacing w:before="156" w:beforeLines="50" w:after="156" w:afterLines="50" w:line="360" w:lineRule="auto"/>
      <w:jc w:val="center"/>
      <w:outlineLvl w:val="1"/>
    </w:pPr>
    <w:rPr>
      <w:rFonts w:ascii="宋体" w:hAnsi="宋体" w:cs="Arial"/>
      <w:b/>
      <w:sz w:val="28"/>
      <w:szCs w:val="21"/>
    </w:rPr>
  </w:style>
  <w:style w:type="paragraph" w:styleId="5">
    <w:name w:val="heading 3"/>
    <w:basedOn w:val="1"/>
    <w:next w:val="6"/>
    <w:qFormat/>
    <w:uiPriority w:val="0"/>
    <w:pPr>
      <w:widowControl w:val="0"/>
      <w:tabs>
        <w:tab w:val="left" w:pos="851"/>
      </w:tabs>
      <w:autoSpaceDE w:val="0"/>
      <w:autoSpaceDN w:val="0"/>
      <w:adjustRightInd w:val="0"/>
      <w:snapToGrid w:val="0"/>
      <w:spacing w:line="360" w:lineRule="auto"/>
      <w:ind w:left="851" w:hanging="851"/>
      <w:jc w:val="both"/>
      <w:outlineLvl w:val="2"/>
    </w:pPr>
    <w:rPr>
      <w:rFonts w:ascii="宋体"/>
      <w:snapToGrid w:val="0"/>
    </w:rPr>
  </w:style>
  <w:style w:type="paragraph" w:styleId="7">
    <w:name w:val="heading 4"/>
    <w:basedOn w:val="1"/>
    <w:next w:val="6"/>
    <w:autoRedefine/>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paragraph" w:styleId="8">
    <w:name w:val="heading 5"/>
    <w:basedOn w:val="1"/>
    <w:next w:val="6"/>
    <w:qFormat/>
    <w:uiPriority w:val="0"/>
    <w:pPr>
      <w:keepNext/>
      <w:widowControl w:val="0"/>
      <w:tabs>
        <w:tab w:val="left" w:pos="1008"/>
      </w:tabs>
      <w:autoSpaceDE w:val="0"/>
      <w:autoSpaceDN w:val="0"/>
      <w:adjustRightInd w:val="0"/>
      <w:snapToGrid w:val="0"/>
      <w:spacing w:before="280" w:beforeLines="0" w:after="290" w:afterLines="0" w:line="376" w:lineRule="auto"/>
      <w:ind w:left="1008" w:hanging="1008"/>
      <w:jc w:val="both"/>
      <w:outlineLvl w:val="4"/>
    </w:pPr>
    <w:rPr>
      <w:rFonts w:ascii="宋体"/>
      <w:b/>
      <w:snapToGrid w:val="0"/>
      <w:color w:val="000000"/>
      <w:sz w:val="28"/>
    </w:rPr>
  </w:style>
  <w:style w:type="paragraph" w:styleId="9">
    <w:name w:val="heading 6"/>
    <w:basedOn w:val="1"/>
    <w:next w:val="6"/>
    <w:qFormat/>
    <w:uiPriority w:val="0"/>
    <w:pPr>
      <w:keepNext/>
      <w:widowControl w:val="0"/>
      <w:tabs>
        <w:tab w:val="left" w:pos="1152"/>
      </w:tabs>
      <w:autoSpaceDE w:val="0"/>
      <w:autoSpaceDN w:val="0"/>
      <w:adjustRightInd w:val="0"/>
      <w:snapToGrid w:val="0"/>
      <w:spacing w:before="240" w:beforeLines="0" w:after="64" w:afterLines="0" w:line="320" w:lineRule="auto"/>
      <w:ind w:left="1152" w:hanging="1152"/>
      <w:jc w:val="both"/>
      <w:outlineLvl w:val="5"/>
    </w:pPr>
    <w:rPr>
      <w:rFonts w:ascii="Arial" w:hAnsi="Arial" w:eastAsia="黑体"/>
      <w:b/>
      <w:snapToGrid w:val="0"/>
      <w:color w:val="000000"/>
      <w:sz w:val="24"/>
    </w:rPr>
  </w:style>
  <w:style w:type="paragraph" w:styleId="10">
    <w:name w:val="heading 7"/>
    <w:basedOn w:val="1"/>
    <w:next w:val="6"/>
    <w:autoRedefine/>
    <w:qFormat/>
    <w:uiPriority w:val="0"/>
    <w:pPr>
      <w:keepNext/>
      <w:widowControl w:val="0"/>
      <w:tabs>
        <w:tab w:val="left" w:pos="1296"/>
      </w:tabs>
      <w:autoSpaceDE w:val="0"/>
      <w:autoSpaceDN w:val="0"/>
      <w:adjustRightInd w:val="0"/>
      <w:snapToGrid w:val="0"/>
      <w:spacing w:before="240" w:beforeLines="0" w:after="64" w:afterLines="0" w:line="320" w:lineRule="auto"/>
      <w:ind w:left="1296" w:hanging="1296"/>
      <w:jc w:val="both"/>
      <w:outlineLvl w:val="6"/>
    </w:pPr>
    <w:rPr>
      <w:rFonts w:ascii="宋体"/>
      <w:b/>
      <w:snapToGrid w:val="0"/>
      <w:color w:val="000000"/>
      <w:sz w:val="24"/>
    </w:rPr>
  </w:style>
  <w:style w:type="paragraph" w:styleId="11">
    <w:name w:val="heading 8"/>
    <w:basedOn w:val="1"/>
    <w:next w:val="6"/>
    <w:autoRedefine/>
    <w:qFormat/>
    <w:uiPriority w:val="0"/>
    <w:pPr>
      <w:keepNext/>
      <w:widowControl w:val="0"/>
      <w:tabs>
        <w:tab w:val="left" w:pos="1440"/>
      </w:tabs>
      <w:autoSpaceDE w:val="0"/>
      <w:autoSpaceDN w:val="0"/>
      <w:adjustRightInd w:val="0"/>
      <w:snapToGrid w:val="0"/>
      <w:spacing w:before="240" w:beforeLines="0" w:after="64" w:afterLines="0" w:line="320" w:lineRule="auto"/>
      <w:ind w:left="1440" w:hanging="1440"/>
      <w:jc w:val="both"/>
      <w:outlineLvl w:val="7"/>
    </w:pPr>
    <w:rPr>
      <w:rFonts w:ascii="Arial" w:hAnsi="Arial" w:eastAsia="黑体"/>
      <w:snapToGrid w:val="0"/>
      <w:color w:val="000000"/>
      <w:sz w:val="24"/>
    </w:rPr>
  </w:style>
  <w:style w:type="paragraph" w:styleId="12">
    <w:name w:val="heading 9"/>
    <w:basedOn w:val="1"/>
    <w:next w:val="6"/>
    <w:autoRedefine/>
    <w:qFormat/>
    <w:uiPriority w:val="0"/>
    <w:pPr>
      <w:keepNext/>
      <w:widowControl w:val="0"/>
      <w:tabs>
        <w:tab w:val="left" w:pos="1584"/>
      </w:tabs>
      <w:autoSpaceDE w:val="0"/>
      <w:autoSpaceDN w:val="0"/>
      <w:adjustRightInd w:val="0"/>
      <w:snapToGrid w:val="0"/>
      <w:spacing w:before="240" w:beforeLines="0" w:after="64" w:afterLines="0" w:line="320" w:lineRule="auto"/>
      <w:ind w:left="1584" w:hanging="1584"/>
      <w:jc w:val="both"/>
      <w:outlineLvl w:val="8"/>
    </w:pPr>
    <w:rPr>
      <w:rFonts w:ascii="Arial" w:hAnsi="Arial" w:eastAsia="黑体"/>
      <w:snapToGrid w:val="0"/>
      <w:color w:val="000000"/>
    </w:rPr>
  </w:style>
  <w:style w:type="character" w:default="1" w:styleId="46">
    <w:name w:val="Default Paragraph Font"/>
    <w:autoRedefine/>
    <w:semiHidden/>
    <w:qFormat/>
    <w:uiPriority w:val="0"/>
    <w:rPr>
      <w:rFonts w:ascii="Tahoma" w:hAnsi="Tahoma"/>
      <w:kern w:val="2"/>
      <w:sz w:val="24"/>
      <w:szCs w:val="24"/>
    </w:rPr>
  </w:style>
  <w:style w:type="table" w:default="1" w:styleId="4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jc w:val="both"/>
    </w:pPr>
    <w:rPr>
      <w:kern w:val="2"/>
      <w:sz w:val="28"/>
    </w:rPr>
  </w:style>
  <w:style w:type="paragraph" w:styleId="6">
    <w:name w:val="Normal Indent"/>
    <w:basedOn w:val="1"/>
    <w:link w:val="52"/>
    <w:autoRedefine/>
    <w:qFormat/>
    <w:uiPriority w:val="0"/>
    <w:pPr>
      <w:ind w:left="720"/>
    </w:pPr>
  </w:style>
  <w:style w:type="paragraph" w:styleId="13">
    <w:name w:val="toc 7"/>
    <w:basedOn w:val="1"/>
    <w:next w:val="1"/>
    <w:autoRedefine/>
    <w:semiHidden/>
    <w:qFormat/>
    <w:uiPriority w:val="0"/>
    <w:pPr>
      <w:widowControl w:val="0"/>
      <w:ind w:left="2520"/>
      <w:jc w:val="both"/>
    </w:pPr>
    <w:rPr>
      <w:kern w:val="2"/>
    </w:rPr>
  </w:style>
  <w:style w:type="paragraph" w:styleId="14">
    <w:name w:val="caption"/>
    <w:basedOn w:val="1"/>
    <w:next w:val="1"/>
    <w:autoRedefine/>
    <w:qFormat/>
    <w:uiPriority w:val="0"/>
    <w:rPr>
      <w:rFonts w:ascii="Arial" w:hAnsi="Arial" w:eastAsia="黑体" w:cs="Arial"/>
      <w:sz w:val="20"/>
    </w:rPr>
  </w:style>
  <w:style w:type="paragraph" w:styleId="15">
    <w:name w:val="Document Map"/>
    <w:basedOn w:val="1"/>
    <w:autoRedefine/>
    <w:semiHidden/>
    <w:qFormat/>
    <w:uiPriority w:val="0"/>
    <w:pPr>
      <w:shd w:val="clear" w:color="auto" w:fill="000080"/>
    </w:pPr>
  </w:style>
  <w:style w:type="paragraph" w:styleId="16">
    <w:name w:val="toa heading"/>
    <w:basedOn w:val="1"/>
    <w:next w:val="1"/>
    <w:autoRedefine/>
    <w:semiHidden/>
    <w:qFormat/>
    <w:uiPriority w:val="0"/>
    <w:pPr>
      <w:widowControl w:val="0"/>
      <w:autoSpaceDE w:val="0"/>
      <w:autoSpaceDN w:val="0"/>
      <w:adjustRightInd w:val="0"/>
      <w:snapToGrid w:val="0"/>
      <w:spacing w:before="120" w:beforeLines="0" w:line="360" w:lineRule="auto"/>
      <w:jc w:val="both"/>
    </w:pPr>
    <w:rPr>
      <w:rFonts w:ascii="Arial" w:hAnsi="Arial"/>
      <w:snapToGrid w:val="0"/>
      <w:color w:val="000000"/>
    </w:rPr>
  </w:style>
  <w:style w:type="paragraph" w:styleId="17">
    <w:name w:val="annotation text"/>
    <w:basedOn w:val="1"/>
    <w:autoRedefine/>
    <w:semiHidden/>
    <w:qFormat/>
    <w:uiPriority w:val="0"/>
  </w:style>
  <w:style w:type="paragraph" w:styleId="18">
    <w:name w:val="Body Text Indent"/>
    <w:basedOn w:val="1"/>
    <w:next w:val="19"/>
    <w:autoRedefine/>
    <w:qFormat/>
    <w:uiPriority w:val="0"/>
    <w:pPr>
      <w:widowControl w:val="0"/>
      <w:spacing w:line="360" w:lineRule="auto"/>
      <w:ind w:left="-103" w:firstLine="515"/>
      <w:jc w:val="both"/>
    </w:pPr>
    <w:rPr>
      <w:rFonts w:ascii="宋体"/>
      <w:kern w:val="2"/>
      <w:sz w:val="24"/>
    </w:rPr>
  </w:style>
  <w:style w:type="paragraph" w:styleId="19">
    <w:name w:val="envelope return"/>
    <w:basedOn w:val="1"/>
    <w:autoRedefine/>
    <w:qFormat/>
    <w:uiPriority w:val="0"/>
    <w:pPr>
      <w:snapToGrid w:val="0"/>
    </w:pPr>
    <w:rPr>
      <w:rFonts w:ascii="Arial" w:hAnsi="Arial"/>
    </w:rPr>
  </w:style>
  <w:style w:type="paragraph" w:styleId="20">
    <w:name w:val="Block Text"/>
    <w:basedOn w:val="1"/>
    <w:autoRedefine/>
    <w:qFormat/>
    <w:uiPriority w:val="0"/>
    <w:pPr>
      <w:autoSpaceDE w:val="0"/>
      <w:autoSpaceDN w:val="0"/>
      <w:spacing w:line="360" w:lineRule="auto"/>
      <w:ind w:left="315" w:leftChars="150" w:right="-53"/>
      <w:jc w:val="both"/>
      <w:textAlignment w:val="bottom"/>
    </w:pPr>
    <w:rPr>
      <w:kern w:val="2"/>
    </w:rPr>
  </w:style>
  <w:style w:type="paragraph" w:styleId="21">
    <w:name w:val="toc 5"/>
    <w:basedOn w:val="1"/>
    <w:next w:val="1"/>
    <w:semiHidden/>
    <w:qFormat/>
    <w:uiPriority w:val="0"/>
    <w:pPr>
      <w:widowControl w:val="0"/>
      <w:ind w:left="1680"/>
      <w:jc w:val="both"/>
    </w:pPr>
    <w:rPr>
      <w:kern w:val="2"/>
    </w:rPr>
  </w:style>
  <w:style w:type="paragraph" w:styleId="22">
    <w:name w:val="toc 3"/>
    <w:basedOn w:val="1"/>
    <w:next w:val="1"/>
    <w:autoRedefine/>
    <w:semiHidden/>
    <w:qFormat/>
    <w:uiPriority w:val="0"/>
    <w:pPr>
      <w:widowControl w:val="0"/>
      <w:tabs>
        <w:tab w:val="right" w:leader="dot" w:pos="9499"/>
      </w:tabs>
      <w:spacing w:line="400" w:lineRule="exact"/>
      <w:ind w:left="318" w:hanging="105"/>
      <w:jc w:val="both"/>
    </w:pPr>
    <w:rPr>
      <w:rFonts w:hAnsi="宋体"/>
      <w:kern w:val="2"/>
      <w:szCs w:val="21"/>
    </w:rPr>
  </w:style>
  <w:style w:type="paragraph" w:styleId="23">
    <w:name w:val="Plain Text"/>
    <w:basedOn w:val="1"/>
    <w:link w:val="53"/>
    <w:autoRedefine/>
    <w:qFormat/>
    <w:uiPriority w:val="0"/>
    <w:pPr>
      <w:widowControl w:val="0"/>
      <w:jc w:val="both"/>
    </w:pPr>
    <w:rPr>
      <w:rFonts w:ascii="宋体" w:hAnsi="Courier New"/>
      <w:kern w:val="2"/>
    </w:rPr>
  </w:style>
  <w:style w:type="paragraph" w:styleId="24">
    <w:name w:val="toc 8"/>
    <w:basedOn w:val="1"/>
    <w:next w:val="1"/>
    <w:autoRedefine/>
    <w:semiHidden/>
    <w:qFormat/>
    <w:uiPriority w:val="0"/>
    <w:pPr>
      <w:widowControl w:val="0"/>
      <w:ind w:left="2940"/>
      <w:jc w:val="both"/>
    </w:pPr>
    <w:rPr>
      <w:kern w:val="2"/>
    </w:rPr>
  </w:style>
  <w:style w:type="paragraph" w:styleId="25">
    <w:name w:val="Date"/>
    <w:basedOn w:val="1"/>
    <w:next w:val="1"/>
    <w:autoRedefine/>
    <w:qFormat/>
    <w:uiPriority w:val="0"/>
    <w:pPr>
      <w:widowControl w:val="0"/>
      <w:jc w:val="both"/>
    </w:pPr>
    <w:rPr>
      <w:rFonts w:ascii="楷体_GB2312" w:eastAsia="楷体_GB2312"/>
      <w:kern w:val="2"/>
      <w:sz w:val="28"/>
    </w:rPr>
  </w:style>
  <w:style w:type="paragraph" w:styleId="26">
    <w:name w:val="Body Text Indent 2"/>
    <w:basedOn w:val="1"/>
    <w:autoRedefine/>
    <w:qFormat/>
    <w:uiPriority w:val="0"/>
    <w:pPr>
      <w:widowControl w:val="0"/>
      <w:spacing w:line="360" w:lineRule="auto"/>
      <w:ind w:firstLine="420"/>
      <w:jc w:val="both"/>
    </w:pPr>
    <w:rPr>
      <w:kern w:val="2"/>
    </w:rPr>
  </w:style>
  <w:style w:type="paragraph" w:styleId="27">
    <w:name w:val="Balloon Text"/>
    <w:basedOn w:val="1"/>
    <w:autoRedefine/>
    <w:semiHidden/>
    <w:qFormat/>
    <w:uiPriority w:val="0"/>
    <w:pPr>
      <w:widowControl w:val="0"/>
      <w:jc w:val="both"/>
    </w:pPr>
    <w:rPr>
      <w:kern w:val="2"/>
      <w:sz w:val="18"/>
      <w:szCs w:val="18"/>
    </w:rPr>
  </w:style>
  <w:style w:type="paragraph" w:styleId="28">
    <w:name w:val="footer"/>
    <w:basedOn w:val="1"/>
    <w:autoRedefine/>
    <w:qFormat/>
    <w:uiPriority w:val="0"/>
    <w:pPr>
      <w:tabs>
        <w:tab w:val="center" w:pos="4153"/>
        <w:tab w:val="right" w:pos="8306"/>
      </w:tabs>
      <w:snapToGrid w:val="0"/>
    </w:pPr>
    <w:rPr>
      <w:sz w:val="18"/>
    </w:rPr>
  </w:style>
  <w:style w:type="paragraph" w:styleId="29">
    <w:name w:val="header"/>
    <w:basedOn w:val="1"/>
    <w:link w:val="54"/>
    <w:autoRedefine/>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autoRedefine/>
    <w:semiHidden/>
    <w:qFormat/>
    <w:uiPriority w:val="0"/>
    <w:pPr>
      <w:tabs>
        <w:tab w:val="right" w:leader="dot" w:pos="9499"/>
      </w:tabs>
      <w:spacing w:line="360" w:lineRule="auto"/>
      <w:jc w:val="both"/>
    </w:pPr>
    <w:rPr>
      <w:rFonts w:ascii="Arial" w:hAnsi="Arial"/>
      <w:bCs/>
      <w:szCs w:val="21"/>
    </w:rPr>
  </w:style>
  <w:style w:type="paragraph" w:styleId="31">
    <w:name w:val="toc 4"/>
    <w:basedOn w:val="1"/>
    <w:next w:val="1"/>
    <w:autoRedefine/>
    <w:semiHidden/>
    <w:qFormat/>
    <w:uiPriority w:val="0"/>
    <w:pPr>
      <w:widowControl w:val="0"/>
      <w:ind w:left="1260"/>
      <w:jc w:val="both"/>
    </w:pPr>
    <w:rPr>
      <w:kern w:val="2"/>
    </w:rPr>
  </w:style>
  <w:style w:type="paragraph" w:styleId="32">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33">
    <w:name w:val="toc 6"/>
    <w:basedOn w:val="1"/>
    <w:next w:val="1"/>
    <w:autoRedefine/>
    <w:semiHidden/>
    <w:qFormat/>
    <w:uiPriority w:val="0"/>
    <w:pPr>
      <w:widowControl w:val="0"/>
      <w:ind w:left="2100"/>
      <w:jc w:val="both"/>
    </w:pPr>
    <w:rPr>
      <w:kern w:val="2"/>
    </w:rPr>
  </w:style>
  <w:style w:type="paragraph" w:styleId="34">
    <w:name w:val="Body Text Indent 3"/>
    <w:basedOn w:val="1"/>
    <w:autoRedefine/>
    <w:qFormat/>
    <w:uiPriority w:val="0"/>
    <w:pPr>
      <w:widowControl w:val="0"/>
      <w:spacing w:line="360" w:lineRule="auto"/>
      <w:ind w:left="420"/>
      <w:jc w:val="both"/>
    </w:pPr>
    <w:rPr>
      <w:kern w:val="2"/>
    </w:rPr>
  </w:style>
  <w:style w:type="paragraph" w:styleId="35">
    <w:name w:val="toc 2"/>
    <w:basedOn w:val="1"/>
    <w:next w:val="1"/>
    <w:autoRedefine/>
    <w:semiHidden/>
    <w:qFormat/>
    <w:uiPriority w:val="0"/>
    <w:pPr>
      <w:tabs>
        <w:tab w:val="right" w:leader="middleDot" w:pos="9707"/>
      </w:tabs>
      <w:spacing w:line="360" w:lineRule="auto"/>
      <w:ind w:left="420"/>
    </w:pPr>
    <w:rPr>
      <w:rFonts w:ascii="宋体"/>
      <w:sz w:val="24"/>
    </w:rPr>
  </w:style>
  <w:style w:type="paragraph" w:styleId="36">
    <w:name w:val="toc 9"/>
    <w:basedOn w:val="1"/>
    <w:next w:val="1"/>
    <w:autoRedefine/>
    <w:semiHidden/>
    <w:qFormat/>
    <w:uiPriority w:val="0"/>
    <w:pPr>
      <w:widowControl w:val="0"/>
      <w:ind w:left="3360"/>
      <w:jc w:val="both"/>
    </w:pPr>
    <w:rPr>
      <w:kern w:val="2"/>
    </w:rPr>
  </w:style>
  <w:style w:type="paragraph" w:styleId="37">
    <w:name w:val="Body Text 2"/>
    <w:basedOn w:val="1"/>
    <w:autoRedefine/>
    <w:qFormat/>
    <w:uiPriority w:val="0"/>
    <w:pPr>
      <w:spacing w:line="360" w:lineRule="auto"/>
    </w:pPr>
    <w:rPr>
      <w:rFonts w:ascii="宋体" w:hAnsi="宋体"/>
      <w:color w:val="000000"/>
      <w:sz w:val="24"/>
    </w:rPr>
  </w:style>
  <w:style w:type="paragraph" w:styleId="38">
    <w:name w:val="Normal (Web)"/>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styleId="39">
    <w:name w:val="index 1"/>
    <w:basedOn w:val="1"/>
    <w:next w:val="1"/>
    <w:autoRedefine/>
    <w:semiHidden/>
    <w:qFormat/>
    <w:uiPriority w:val="0"/>
    <w:pPr>
      <w:widowControl w:val="0"/>
      <w:jc w:val="center"/>
    </w:pPr>
    <w:rPr>
      <w:kern w:val="2"/>
      <w:szCs w:val="24"/>
    </w:rPr>
  </w:style>
  <w:style w:type="paragraph" w:styleId="40">
    <w:name w:val="Title"/>
    <w:basedOn w:val="1"/>
    <w:next w:val="1"/>
    <w:autoRedefine/>
    <w:qFormat/>
    <w:uiPriority w:val="0"/>
    <w:pPr>
      <w:spacing w:before="240" w:after="60"/>
      <w:jc w:val="center"/>
      <w:outlineLvl w:val="0"/>
    </w:pPr>
    <w:rPr>
      <w:rFonts w:ascii="Cambria" w:hAnsi="Cambria"/>
      <w:b/>
      <w:bCs/>
      <w:sz w:val="32"/>
      <w:szCs w:val="32"/>
    </w:rPr>
  </w:style>
  <w:style w:type="paragraph" w:styleId="41">
    <w:name w:val="annotation subject"/>
    <w:basedOn w:val="17"/>
    <w:next w:val="17"/>
    <w:autoRedefine/>
    <w:semiHidden/>
    <w:qFormat/>
    <w:uiPriority w:val="0"/>
    <w:rPr>
      <w:b/>
      <w:bCs/>
    </w:rPr>
  </w:style>
  <w:style w:type="paragraph" w:styleId="42">
    <w:name w:val="Body Text First Indent"/>
    <w:basedOn w:val="1"/>
    <w:autoRedefine/>
    <w:qFormat/>
    <w:uiPriority w:val="0"/>
    <w:pPr>
      <w:widowControl/>
      <w:autoSpaceDE/>
      <w:autoSpaceDN/>
      <w:adjustRightInd/>
      <w:spacing w:after="120"/>
      <w:ind w:right="0" w:firstLine="420" w:firstLineChars="100"/>
      <w:jc w:val="left"/>
    </w:pPr>
    <w:rPr>
      <w:rFonts w:ascii="Times New Roman"/>
      <w:kern w:val="0"/>
      <w:sz w:val="21"/>
      <w:szCs w:val="20"/>
      <w:lang w:val="en-US"/>
    </w:rPr>
  </w:style>
  <w:style w:type="paragraph" w:styleId="43">
    <w:name w:val="Body Text First Indent 2"/>
    <w:basedOn w:val="18"/>
    <w:autoRedefine/>
    <w:qFormat/>
    <w:uiPriority w:val="0"/>
    <w:pPr>
      <w:widowControl/>
      <w:spacing w:after="120" w:afterLines="0" w:line="240" w:lineRule="auto"/>
      <w:ind w:left="420" w:leftChars="200" w:firstLine="420" w:firstLineChars="200"/>
      <w:jc w:val="left"/>
    </w:pPr>
    <w:rPr>
      <w:rFonts w:ascii="Times New Roman"/>
      <w:kern w:val="0"/>
      <w:sz w:val="21"/>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Hyperlink"/>
    <w:autoRedefine/>
    <w:qFormat/>
    <w:uiPriority w:val="0"/>
    <w:rPr>
      <w:color w:val="0000FF"/>
      <w:u w:val="single"/>
    </w:rPr>
  </w:style>
  <w:style w:type="character" w:styleId="51">
    <w:name w:val="annotation reference"/>
    <w:autoRedefine/>
    <w:semiHidden/>
    <w:qFormat/>
    <w:uiPriority w:val="0"/>
    <w:rPr>
      <w:sz w:val="21"/>
      <w:szCs w:val="21"/>
    </w:rPr>
  </w:style>
  <w:style w:type="character" w:customStyle="1" w:styleId="52">
    <w:name w:val="正文缩进 Char"/>
    <w:link w:val="6"/>
    <w:autoRedefine/>
    <w:qFormat/>
    <w:uiPriority w:val="0"/>
    <w:rPr>
      <w:rFonts w:eastAsia="宋体"/>
      <w:sz w:val="21"/>
      <w:lang w:val="en-US" w:eastAsia="zh-CN" w:bidi="ar-SA"/>
    </w:rPr>
  </w:style>
  <w:style w:type="character" w:customStyle="1" w:styleId="53">
    <w:name w:val="纯文本 Char"/>
    <w:basedOn w:val="46"/>
    <w:link w:val="23"/>
    <w:autoRedefine/>
    <w:qFormat/>
    <w:locked/>
    <w:uiPriority w:val="0"/>
    <w:rPr>
      <w:rFonts w:ascii="宋体" w:hAnsi="Courier New" w:eastAsia="宋体"/>
      <w:kern w:val="2"/>
      <w:sz w:val="21"/>
      <w:lang w:val="en-US" w:eastAsia="zh-CN" w:bidi="ar-SA"/>
    </w:rPr>
  </w:style>
  <w:style w:type="character" w:customStyle="1" w:styleId="54">
    <w:name w:val="页眉 Char"/>
    <w:link w:val="29"/>
    <w:autoRedefine/>
    <w:qFormat/>
    <w:uiPriority w:val="0"/>
    <w:rPr>
      <w:sz w:val="18"/>
    </w:rPr>
  </w:style>
  <w:style w:type="paragraph" w:customStyle="1" w:styleId="55">
    <w:name w:val="样式 正文文本缩进 + 左  0 字符"/>
    <w:basedOn w:val="18"/>
    <w:autoRedefine/>
    <w:qFormat/>
    <w:uiPriority w:val="0"/>
    <w:pPr>
      <w:ind w:firstLine="250" w:firstLineChars="250"/>
    </w:pPr>
    <w:rPr>
      <w:rFonts w:ascii="宋体" w:hAnsi="宋体" w:eastAsia="宋体" w:cs="宋体"/>
      <w:color w:val="000000"/>
      <w:szCs w:val="20"/>
    </w:rPr>
  </w:style>
  <w:style w:type="character" w:customStyle="1" w:styleId="56">
    <w:name w:val="style41"/>
    <w:autoRedefine/>
    <w:qFormat/>
    <w:uiPriority w:val="0"/>
    <w:rPr>
      <w:b/>
      <w:bCs/>
      <w:color w:val="000066"/>
    </w:rPr>
  </w:style>
  <w:style w:type="character" w:customStyle="1" w:styleId="57">
    <w:name w:val="font11"/>
    <w:basedOn w:val="46"/>
    <w:autoRedefine/>
    <w:qFormat/>
    <w:uiPriority w:val="0"/>
    <w:rPr>
      <w:rFonts w:hint="eastAsia" w:ascii="宋体" w:hAnsi="宋体" w:eastAsia="宋体" w:cs="宋体"/>
      <w:color w:val="000000"/>
      <w:sz w:val="24"/>
      <w:szCs w:val="24"/>
      <w:u w:val="none"/>
    </w:rPr>
  </w:style>
  <w:style w:type="character" w:customStyle="1" w:styleId="58">
    <w:name w:val="方案正文 Char Char"/>
    <w:link w:val="59"/>
    <w:autoRedefine/>
    <w:qFormat/>
    <w:uiPriority w:val="0"/>
    <w:rPr>
      <w:rFonts w:ascii="宋体"/>
      <w:sz w:val="24"/>
      <w:szCs w:val="28"/>
    </w:rPr>
  </w:style>
  <w:style w:type="paragraph" w:customStyle="1" w:styleId="59">
    <w:name w:val="方案正文"/>
    <w:basedOn w:val="1"/>
    <w:link w:val="58"/>
    <w:autoRedefine/>
    <w:qFormat/>
    <w:uiPriority w:val="0"/>
    <w:pPr>
      <w:widowControl w:val="0"/>
      <w:spacing w:before="100" w:beforeLines="0" w:line="360" w:lineRule="auto"/>
      <w:ind w:firstLine="480" w:firstLineChars="200"/>
      <w:jc w:val="both"/>
    </w:pPr>
    <w:rPr>
      <w:rFonts w:ascii="宋体"/>
      <w:sz w:val="24"/>
      <w:szCs w:val="28"/>
    </w:rPr>
  </w:style>
  <w:style w:type="character" w:customStyle="1" w:styleId="60">
    <w:name w:val="para1"/>
    <w:autoRedefine/>
    <w:qFormat/>
    <w:uiPriority w:val="0"/>
    <w:rPr>
      <w:rFonts w:hint="default" w:ascii="Arial" w:hAnsi="Arial" w:cs="Arial"/>
      <w:sz w:val="16"/>
      <w:szCs w:val="16"/>
    </w:rPr>
  </w:style>
  <w:style w:type="character" w:customStyle="1" w:styleId="61">
    <w:name w:val="ca-6"/>
    <w:basedOn w:val="46"/>
    <w:autoRedefine/>
    <w:qFormat/>
    <w:uiPriority w:val="0"/>
  </w:style>
  <w:style w:type="character" w:customStyle="1" w:styleId="62">
    <w:name w:val="span_paramvalue"/>
    <w:basedOn w:val="46"/>
    <w:autoRedefine/>
    <w:qFormat/>
    <w:uiPriority w:val="0"/>
  </w:style>
  <w:style w:type="character" w:customStyle="1" w:styleId="63">
    <w:name w:val="ca-5"/>
    <w:basedOn w:val="46"/>
    <w:autoRedefine/>
    <w:qFormat/>
    <w:uiPriority w:val="0"/>
  </w:style>
  <w:style w:type="character" w:customStyle="1" w:styleId="64">
    <w:name w:val="span_param1"/>
    <w:basedOn w:val="46"/>
    <w:autoRedefine/>
    <w:qFormat/>
    <w:uiPriority w:val="0"/>
  </w:style>
  <w:style w:type="character" w:customStyle="1" w:styleId="65">
    <w:name w:val="font01"/>
    <w:autoRedefine/>
    <w:qFormat/>
    <w:uiPriority w:val="0"/>
    <w:rPr>
      <w:rFonts w:hint="default" w:ascii="Times New Roman" w:hAnsi="Times New Roman" w:cs="Times New Roman"/>
      <w:color w:val="000000"/>
      <w:sz w:val="20"/>
      <w:szCs w:val="20"/>
      <w:u w:val="none"/>
    </w:rPr>
  </w:style>
  <w:style w:type="character" w:customStyle="1" w:styleId="66">
    <w:name w:val="纯文本 Char Char"/>
    <w:autoRedefine/>
    <w:qFormat/>
    <w:uiPriority w:val="0"/>
    <w:rPr>
      <w:rFonts w:ascii="宋体" w:hAnsi="Courier New" w:eastAsia="宋体"/>
      <w:kern w:val="2"/>
      <w:sz w:val="21"/>
      <w:lang w:val="en-US" w:eastAsia="zh-CN" w:bidi="ar-SA"/>
    </w:rPr>
  </w:style>
  <w:style w:type="character" w:customStyle="1" w:styleId="67">
    <w:name w:val="txt11"/>
    <w:autoRedefine/>
    <w:qFormat/>
    <w:uiPriority w:val="0"/>
    <w:rPr>
      <w:rFonts w:hint="default" w:ascii="Arial" w:hAnsi="Arial" w:cs="Arial"/>
      <w:color w:val="000000"/>
      <w:sz w:val="18"/>
      <w:szCs w:val="18"/>
    </w:rPr>
  </w:style>
  <w:style w:type="paragraph" w:customStyle="1" w:styleId="68">
    <w:name w:val="Char Char1 Char"/>
    <w:basedOn w:val="1"/>
    <w:autoRedefine/>
    <w:qFormat/>
    <w:uiPriority w:val="0"/>
    <w:pPr>
      <w:widowControl w:val="0"/>
      <w:jc w:val="both"/>
    </w:pPr>
    <w:rPr>
      <w:kern w:val="2"/>
      <w:szCs w:val="24"/>
    </w:rPr>
  </w:style>
  <w:style w:type="paragraph" w:customStyle="1" w:styleId="69">
    <w:name w:val="Default"/>
    <w:next w:val="70"/>
    <w:autoRedefine/>
    <w:qFormat/>
    <w:uiPriority w:val="99"/>
    <w:pPr>
      <w:widowControl w:val="0"/>
      <w:autoSpaceDE w:val="0"/>
      <w:autoSpaceDN w:val="0"/>
      <w:adjustRightInd w:val="0"/>
    </w:pPr>
    <w:rPr>
      <w:rFonts w:ascii="Calibri" w:hAnsi="Calibri" w:eastAsia="宋体" w:cs="黑体"/>
      <w:color w:val="000000"/>
      <w:sz w:val="24"/>
      <w:szCs w:val="24"/>
      <w:lang w:val="en-US" w:eastAsia="zh-CN" w:bidi="ar-SA"/>
    </w:rPr>
  </w:style>
  <w:style w:type="paragraph" w:customStyle="1" w:styleId="70">
    <w:name w:val="大标题"/>
    <w:basedOn w:val="1"/>
    <w:next w:val="43"/>
    <w:autoRedefine/>
    <w:qFormat/>
    <w:uiPriority w:val="0"/>
    <w:pPr>
      <w:jc w:val="center"/>
    </w:pPr>
    <w:rPr>
      <w:rFonts w:ascii="Arial" w:hAnsi="Arial" w:eastAsia="宋体"/>
      <w:b/>
      <w:sz w:val="28"/>
      <w:szCs w:val="24"/>
    </w:rPr>
  </w:style>
  <w:style w:type="paragraph" w:customStyle="1" w:styleId="71">
    <w:name w:val="默认段落字体 Para Char"/>
    <w:basedOn w:val="1"/>
    <w:autoRedefine/>
    <w:qFormat/>
    <w:uiPriority w:val="0"/>
    <w:pPr>
      <w:widowControl w:val="0"/>
      <w:jc w:val="both"/>
    </w:pPr>
  </w:style>
  <w:style w:type="paragraph" w:customStyle="1" w:styleId="72">
    <w:name w:val=" Char1 Char Char"/>
    <w:basedOn w:val="1"/>
    <w:autoRedefine/>
    <w:qFormat/>
    <w:uiPriority w:val="0"/>
    <w:pPr>
      <w:spacing w:after="160" w:afterLines="0" w:line="240" w:lineRule="exact"/>
    </w:pPr>
  </w:style>
  <w:style w:type="paragraph" w:customStyle="1" w:styleId="73">
    <w:name w:val="表格内容"/>
    <w:basedOn w:val="1"/>
    <w:next w:val="1"/>
    <w:autoRedefine/>
    <w:qFormat/>
    <w:uiPriority w:val="0"/>
    <w:pPr>
      <w:widowControl w:val="0"/>
      <w:spacing w:line="312" w:lineRule="auto"/>
      <w:jc w:val="both"/>
    </w:pPr>
    <w:rPr>
      <w:rFonts w:ascii="宋体"/>
      <w:kern w:val="2"/>
    </w:rPr>
  </w:style>
  <w:style w:type="paragraph" w:customStyle="1" w:styleId="74">
    <w:name w:val=" Char1 Char Char Char1"/>
    <w:basedOn w:val="1"/>
    <w:autoRedefine/>
    <w:qFormat/>
    <w:uiPriority w:val="0"/>
    <w:pPr>
      <w:spacing w:after="160" w:afterLines="0" w:line="240" w:lineRule="exact"/>
    </w:pPr>
    <w:rPr>
      <w:rFonts w:ascii="Verdana" w:hAnsi="Verdana" w:eastAsia="仿宋_GB2312"/>
      <w:sz w:val="28"/>
      <w:lang w:eastAsia="en-US"/>
    </w:rPr>
  </w:style>
  <w:style w:type="paragraph" w:customStyle="1" w:styleId="75">
    <w:name w:val=" Char Char Char Char"/>
    <w:basedOn w:val="1"/>
    <w:autoRedefine/>
    <w:qFormat/>
    <w:uiPriority w:val="0"/>
    <w:pPr>
      <w:spacing w:after="160" w:afterLines="0" w:line="240" w:lineRule="exact"/>
    </w:pPr>
    <w:rPr>
      <w:rFonts w:ascii="Verdana" w:hAnsi="Verdana" w:eastAsia="仿宋_GB2312"/>
      <w:sz w:val="24"/>
      <w:lang w:eastAsia="en-US"/>
    </w:rPr>
  </w:style>
  <w:style w:type="paragraph" w:customStyle="1" w:styleId="76">
    <w:name w:val="列出段落1"/>
    <w:autoRedefine/>
    <w:qFormat/>
    <w:uiPriority w:val="34"/>
    <w:pPr>
      <w:ind w:firstLine="420" w:firstLineChars="200"/>
    </w:pPr>
    <w:rPr>
      <w:rFonts w:ascii="Times New Roman" w:hAnsi="Times New Roman" w:eastAsia="宋体" w:cs="Times New Roman"/>
      <w:szCs w:val="24"/>
      <w:lang w:val="en-US" w:eastAsia="zh-CN" w:bidi="ar-SA"/>
    </w:rPr>
  </w:style>
  <w:style w:type="paragraph" w:customStyle="1" w:styleId="77">
    <w:name w:val="(标书)正文 Char"/>
    <w:basedOn w:val="1"/>
    <w:autoRedefine/>
    <w:qFormat/>
    <w:uiPriority w:val="0"/>
    <w:pPr>
      <w:widowControl w:val="0"/>
      <w:spacing w:line="480" w:lineRule="auto"/>
      <w:ind w:firstLine="522"/>
    </w:pPr>
    <w:rPr>
      <w:spacing w:val="10"/>
      <w:sz w:val="24"/>
      <w:szCs w:val="24"/>
    </w:rPr>
  </w:style>
  <w:style w:type="paragraph" w:customStyle="1" w:styleId="78">
    <w:name w:val="Date"/>
    <w:basedOn w:val="1"/>
    <w:next w:val="1"/>
    <w:autoRedefine/>
    <w:qFormat/>
    <w:uiPriority w:val="0"/>
    <w:pPr>
      <w:widowControl w:val="0"/>
      <w:adjustRightInd w:val="0"/>
      <w:spacing w:line="360" w:lineRule="auto"/>
      <w:jc w:val="both"/>
      <w:textAlignment w:val="baseline"/>
    </w:pPr>
    <w:rPr>
      <w:rFonts w:ascii="宋体"/>
      <w:b/>
      <w:spacing w:val="2"/>
      <w:kern w:val="2"/>
      <w:sz w:val="24"/>
    </w:rPr>
  </w:style>
  <w:style w:type="paragraph" w:customStyle="1" w:styleId="79">
    <w:name w:val="标题 4 +"/>
    <w:basedOn w:val="11"/>
    <w:autoRedefine/>
    <w:qFormat/>
    <w:uiPriority w:val="0"/>
    <w:pPr>
      <w:keepLines/>
      <w:numPr>
        <w:ilvl w:val="0"/>
        <w:numId w:val="0"/>
      </w:numPr>
      <w:autoSpaceDE/>
      <w:autoSpaceDN/>
      <w:adjustRightInd/>
      <w:snapToGrid/>
    </w:pPr>
    <w:rPr>
      <w:snapToGrid/>
      <w:color w:val="auto"/>
      <w:szCs w:val="24"/>
    </w:rPr>
  </w:style>
  <w:style w:type="paragraph" w:customStyle="1" w:styleId="80">
    <w:name w:val="Char"/>
    <w:basedOn w:val="15"/>
    <w:autoRedefine/>
    <w:qFormat/>
    <w:uiPriority w:val="0"/>
    <w:pPr>
      <w:widowControl w:val="0"/>
      <w:adjustRightInd w:val="0"/>
      <w:jc w:val="both"/>
    </w:pPr>
    <w:rPr>
      <w:rFonts w:ascii="Tahoma" w:hAnsi="Tahoma"/>
      <w:kern w:val="2"/>
      <w:sz w:val="24"/>
      <w:szCs w:val="24"/>
    </w:rPr>
  </w:style>
  <w:style w:type="paragraph" w:customStyle="1" w:styleId="81">
    <w:name w:val="标题 4 宋体"/>
    <w:basedOn w:val="79"/>
    <w:autoRedefine/>
    <w:qFormat/>
    <w:uiPriority w:val="0"/>
    <w:pPr>
      <w:tabs>
        <w:tab w:val="clear" w:pos="1440"/>
      </w:tabs>
    </w:pPr>
    <w:rPr>
      <w:rFonts w:ascii="宋体" w:hAnsi="宋体" w:eastAsia="宋体"/>
      <w:b/>
      <w:bCs/>
      <w:kern w:val="2"/>
      <w:sz w:val="22"/>
    </w:rPr>
  </w:style>
  <w:style w:type="paragraph" w:customStyle="1" w:styleId="82">
    <w:name w:val="fonttable1"/>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customStyle="1" w:styleId="83">
    <w:name w:val="Char1"/>
    <w:basedOn w:val="15"/>
    <w:autoRedefine/>
    <w:qFormat/>
    <w:uiPriority w:val="0"/>
    <w:pPr>
      <w:widowControl w:val="0"/>
      <w:shd w:val="clear" w:color="auto" w:fill="FFFFFF"/>
      <w:jc w:val="both"/>
    </w:pPr>
    <w:rPr>
      <w:kern w:val="2"/>
      <w:szCs w:val="24"/>
    </w:rPr>
  </w:style>
  <w:style w:type="paragraph" w:customStyle="1" w:styleId="84">
    <w:name w:val="题注5"/>
    <w:basedOn w:val="1"/>
    <w:next w:val="14"/>
    <w:autoRedefine/>
    <w:qFormat/>
    <w:uiPriority w:val="0"/>
    <w:pPr>
      <w:widowControl w:val="0"/>
      <w:numPr>
        <w:ilvl w:val="0"/>
        <w:numId w:val="1"/>
      </w:numPr>
      <w:tabs>
        <w:tab w:val="left" w:pos="540"/>
        <w:tab w:val="clear" w:pos="510"/>
      </w:tabs>
      <w:spacing w:line="360" w:lineRule="auto"/>
      <w:ind w:left="540" w:hanging="540" w:hangingChars="225"/>
      <w:jc w:val="both"/>
    </w:pPr>
    <w:rPr>
      <w:rFonts w:ascii="宋体" w:hAnsi="宋体"/>
      <w:color w:val="000000"/>
      <w:kern w:val="2"/>
      <w:sz w:val="24"/>
      <w:szCs w:val="24"/>
    </w:rPr>
  </w:style>
  <w:style w:type="paragraph" w:customStyle="1" w:styleId="85">
    <w:name w:val=" Char Char Char"/>
    <w:basedOn w:val="1"/>
    <w:autoRedefine/>
    <w:qFormat/>
    <w:uiPriority w:val="0"/>
    <w:pPr>
      <w:widowControl w:val="0"/>
      <w:jc w:val="both"/>
    </w:pPr>
    <w:rPr>
      <w:rFonts w:ascii="Tahoma" w:hAnsi="Tahoma"/>
      <w:kern w:val="2"/>
      <w:sz w:val="24"/>
    </w:rPr>
  </w:style>
  <w:style w:type="paragraph" w:styleId="86">
    <w:name w:val="List Paragraph"/>
    <w:basedOn w:val="1"/>
    <w:autoRedefine/>
    <w:qFormat/>
    <w:uiPriority w:val="99"/>
    <w:pPr>
      <w:ind w:firstLine="420"/>
      <w:jc w:val="both"/>
    </w:pPr>
    <w:rPr>
      <w:rFonts w:ascii="Calibri" w:hAnsi="Calibri" w:cs="Calibri"/>
      <w:szCs w:val="21"/>
    </w:rPr>
  </w:style>
  <w:style w:type="paragraph" w:customStyle="1" w:styleId="87">
    <w:name w:val=" Char"/>
    <w:basedOn w:val="15"/>
    <w:autoRedefine/>
    <w:qFormat/>
    <w:uiPriority w:val="0"/>
    <w:pPr>
      <w:widowControl w:val="0"/>
      <w:adjustRightInd w:val="0"/>
      <w:jc w:val="both"/>
      <w:textAlignment w:val="baseline"/>
    </w:pPr>
    <w:rPr>
      <w:rFonts w:ascii="Tahoma" w:hAnsi="Tahoma"/>
      <w:kern w:val="2"/>
      <w:sz w:val="24"/>
      <w:szCs w:val="24"/>
    </w:rPr>
  </w:style>
  <w:style w:type="paragraph" w:customStyle="1" w:styleId="88">
    <w:name w:val="_Style 2"/>
    <w:basedOn w:val="1"/>
    <w:autoRedefine/>
    <w:qFormat/>
    <w:uiPriority w:val="34"/>
    <w:pPr>
      <w:autoSpaceDE/>
      <w:autoSpaceDN/>
      <w:adjustRightInd/>
      <w:ind w:firstLine="420" w:firstLineChars="200"/>
      <w:jc w:val="both"/>
    </w:pPr>
    <w:rPr>
      <w:rFonts w:ascii="Times New Roman"/>
      <w:kern w:val="2"/>
      <w:sz w:val="21"/>
    </w:rPr>
  </w:style>
  <w:style w:type="paragraph" w:customStyle="1" w:styleId="89">
    <w:name w:val="xl51"/>
    <w:basedOn w:val="1"/>
    <w:autoRedefine/>
    <w:qFormat/>
    <w:uiPriority w:val="0"/>
    <w:pPr>
      <w:pBdr>
        <w:bottom w:val="single" w:color="auto" w:sz="4" w:space="0"/>
        <w:right w:val="single" w:color="auto" w:sz="4" w:space="0"/>
      </w:pBdr>
      <w:spacing w:before="100" w:beforeLines="0" w:beforeAutospacing="1" w:after="100" w:afterLines="0" w:afterAutospacing="1"/>
      <w:jc w:val="both"/>
      <w:textAlignment w:val="center"/>
    </w:pPr>
    <w:rPr>
      <w:rFonts w:ascii="Arial" w:hAnsi="Arial" w:eastAsia="Arial Unicode MS" w:cs="Arial"/>
      <w:szCs w:val="21"/>
    </w:rPr>
  </w:style>
  <w:style w:type="paragraph" w:customStyle="1" w:styleId="90">
    <w:name w:val="标题1"/>
    <w:basedOn w:val="1"/>
    <w:autoRedefine/>
    <w:qFormat/>
    <w:uiPriority w:val="0"/>
    <w:pPr>
      <w:spacing w:line="360" w:lineRule="auto"/>
      <w:jc w:val="center"/>
    </w:pPr>
    <w:rPr>
      <w:rFonts w:ascii="黑体" w:eastAsia="黑体"/>
      <w:b/>
      <w:sz w:val="44"/>
    </w:rPr>
  </w:style>
  <w:style w:type="paragraph" w:customStyle="1" w:styleId="91">
    <w:name w:val="_Style 161"/>
    <w:basedOn w:val="15"/>
    <w:autoRedefine/>
    <w:qFormat/>
    <w:uiPriority w:val="0"/>
    <w:pPr>
      <w:widowControl w:val="0"/>
      <w:shd w:val="clear" w:color="auto" w:fill="FFFFFF"/>
      <w:jc w:val="both"/>
    </w:pPr>
    <w:rPr>
      <w:kern w:val="2"/>
      <w:szCs w:val="24"/>
    </w:rPr>
  </w:style>
  <w:style w:type="paragraph" w:customStyle="1" w:styleId="92">
    <w:name w:val="封面标题1"/>
    <w:basedOn w:val="1"/>
    <w:autoRedefine/>
    <w:qFormat/>
    <w:uiPriority w:val="0"/>
    <w:pPr>
      <w:widowControl w:val="0"/>
      <w:jc w:val="center"/>
    </w:pPr>
    <w:rPr>
      <w:rFonts w:cs="宋体"/>
      <w:b/>
      <w:kern w:val="2"/>
      <w:sz w:val="72"/>
    </w:rPr>
  </w:style>
  <w:style w:type="paragraph" w:customStyle="1" w:styleId="93">
    <w:name w:val="Char Char Char"/>
    <w:basedOn w:val="1"/>
    <w:autoRedefine/>
    <w:qFormat/>
    <w:uiPriority w:val="0"/>
    <w:pPr>
      <w:widowControl w:val="0"/>
      <w:jc w:val="both"/>
    </w:pPr>
    <w:rPr>
      <w:rFonts w:ascii="Tahoma" w:hAnsi="Tahoma"/>
      <w:kern w:val="2"/>
      <w:sz w:val="24"/>
    </w:rPr>
  </w:style>
  <w:style w:type="paragraph" w:customStyle="1" w:styleId="94">
    <w:name w:val="tabletext"/>
    <w:basedOn w:val="1"/>
    <w:autoRedefine/>
    <w:qFormat/>
    <w:uiPriority w:val="0"/>
    <w:pPr>
      <w:spacing w:before="100" w:beforeLines="0" w:beforeAutospacing="1" w:after="100" w:afterLines="0" w:afterAutospacing="1" w:line="209" w:lineRule="atLeast"/>
    </w:pPr>
    <w:rPr>
      <w:rFonts w:ascii="宋体" w:hAnsi="宋体"/>
      <w:sz w:val="16"/>
      <w:szCs w:val="16"/>
    </w:rPr>
  </w:style>
  <w:style w:type="paragraph" w:customStyle="1" w:styleId="95">
    <w:name w:val="图"/>
    <w:basedOn w:val="1"/>
    <w:autoRedefine/>
    <w:qFormat/>
    <w:uiPriority w:val="0"/>
    <w:pPr>
      <w:keepNext/>
      <w:widowControl w:val="0"/>
      <w:adjustRightInd w:val="0"/>
      <w:spacing w:before="60" w:beforeLines="0" w:after="60" w:afterLines="0" w:line="300" w:lineRule="auto"/>
      <w:jc w:val="center"/>
      <w:textAlignment w:val="center"/>
    </w:pPr>
    <w:rPr>
      <w:snapToGrid w:val="0"/>
      <w:spacing w:val="20"/>
      <w:sz w:val="24"/>
    </w:rPr>
  </w:style>
  <w:style w:type="paragraph" w:customStyle="1" w:styleId="96">
    <w:name w:val="样式1"/>
    <w:basedOn w:val="1"/>
    <w:autoRedefine/>
    <w:qFormat/>
    <w:uiPriority w:val="0"/>
    <w:pPr>
      <w:widowControl w:val="0"/>
      <w:numPr>
        <w:ilvl w:val="0"/>
        <w:numId w:val="2"/>
      </w:numPr>
      <w:adjustRightInd w:val="0"/>
      <w:snapToGrid w:val="0"/>
      <w:spacing w:before="40" w:beforeLines="0" w:after="40" w:afterLines="0" w:line="300" w:lineRule="auto"/>
      <w:jc w:val="center"/>
      <w:textAlignment w:val="center"/>
    </w:pPr>
    <w:rPr>
      <w:snapToGrid w:val="0"/>
      <w:spacing w:val="20"/>
      <w:sz w:val="18"/>
    </w:rPr>
  </w:style>
  <w:style w:type="paragraph" w:customStyle="1" w:styleId="97">
    <w:name w:val="Char1 Char Char Char"/>
    <w:basedOn w:val="1"/>
    <w:autoRedefine/>
    <w:qFormat/>
    <w:uiPriority w:val="0"/>
    <w:pPr>
      <w:widowControl w:val="0"/>
      <w:jc w:val="both"/>
    </w:pPr>
    <w:rPr>
      <w:rFonts w:ascii="Tahoma" w:hAnsi="Tahoma"/>
      <w:kern w:val="2"/>
      <w:sz w:val="24"/>
    </w:rPr>
  </w:style>
  <w:style w:type="paragraph" w:customStyle="1" w:styleId="98">
    <w:name w:val=" Char2"/>
    <w:basedOn w:val="1"/>
    <w:autoRedefine/>
    <w:qFormat/>
    <w:uiPriority w:val="0"/>
    <w:pPr>
      <w:widowControl w:val="0"/>
      <w:jc w:val="both"/>
    </w:pPr>
    <w:rPr>
      <w:rFonts w:ascii="Tahoma" w:hAnsi="Tahoma" w:cs="Tahoma"/>
      <w:kern w:val="2"/>
      <w:sz w:val="24"/>
      <w:szCs w:val="24"/>
    </w:rPr>
  </w:style>
  <w:style w:type="paragraph" w:customStyle="1" w:styleId="99">
    <w:name w:val="投标文件2"/>
    <w:basedOn w:val="1"/>
    <w:autoRedefine/>
    <w:qFormat/>
    <w:uiPriority w:val="0"/>
    <w:pPr>
      <w:widowControl w:val="0"/>
      <w:spacing w:line="480" w:lineRule="auto"/>
      <w:ind w:left="1134"/>
      <w:jc w:val="center"/>
      <w:outlineLvl w:val="0"/>
    </w:pPr>
    <w:rPr>
      <w:rFonts w:ascii="宋体"/>
      <w:b/>
      <w:kern w:val="2"/>
      <w:sz w:val="30"/>
    </w:rPr>
  </w:style>
  <w:style w:type="paragraph" w:customStyle="1" w:styleId="100">
    <w:name w:val="默认段落字体 Para Char Char Char Char Char Char Char"/>
    <w:basedOn w:val="1"/>
    <w:autoRedefine/>
    <w:qFormat/>
    <w:uiPriority w:val="0"/>
    <w:pPr>
      <w:widowControl w:val="0"/>
      <w:jc w:val="both"/>
    </w:pPr>
    <w:rPr>
      <w:rFonts w:ascii="Tahoma" w:hAnsi="Tahoma"/>
      <w:kern w:val="2"/>
      <w:sz w:val="24"/>
    </w:rPr>
  </w:style>
  <w:style w:type="paragraph" w:customStyle="1" w:styleId="101">
    <w:name w:val="标题 3 + 宋体"/>
    <w:basedOn w:val="4"/>
    <w:autoRedefine/>
    <w:qFormat/>
    <w:uiPriority w:val="0"/>
    <w:pPr>
      <w:widowControl w:val="0"/>
      <w:adjustRightInd/>
      <w:snapToGrid/>
      <w:spacing w:before="260" w:beforeLines="0" w:after="260" w:afterLines="0" w:line="416" w:lineRule="auto"/>
      <w:jc w:val="both"/>
    </w:pPr>
    <w:rPr>
      <w:rFonts w:hAnsi="宋体"/>
      <w:bCs/>
      <w:sz w:val="28"/>
      <w:szCs w:val="32"/>
    </w:rPr>
  </w:style>
  <w:style w:type="paragraph" w:customStyle="1" w:styleId="102">
    <w:name w:val="表格文字"/>
    <w:basedOn w:val="1"/>
    <w:autoRedefine/>
    <w:qFormat/>
    <w:uiPriority w:val="0"/>
    <w:pPr>
      <w:widowControl w:val="0"/>
      <w:spacing w:before="25" w:beforeLines="0" w:after="25" w:afterLines="0" w:line="300" w:lineRule="auto"/>
      <w:jc w:val="both"/>
    </w:pPr>
    <w:rPr>
      <w:rFonts w:ascii="Times" w:hAnsi="Times"/>
      <w:spacing w:val="10"/>
      <w:sz w:val="24"/>
    </w:rPr>
  </w:style>
  <w:style w:type="paragraph" w:customStyle="1" w:styleId="103">
    <w:name w:val="List Paragraph1"/>
    <w:basedOn w:val="1"/>
    <w:autoRedefine/>
    <w:qFormat/>
    <w:uiPriority w:val="34"/>
    <w:pPr>
      <w:ind w:firstLine="420" w:firstLineChars="200"/>
    </w:pPr>
    <w:rPr>
      <w:rFonts w:ascii="Calibri" w:hAnsi="Calibri"/>
      <w:szCs w:val="22"/>
    </w:rPr>
  </w:style>
  <w:style w:type="paragraph" w:customStyle="1" w:styleId="104">
    <w:name w:val="首行缩进:  0.85 厘米"/>
    <w:basedOn w:val="1"/>
    <w:autoRedefine/>
    <w:qFormat/>
    <w:uiPriority w:val="0"/>
    <w:pPr>
      <w:ind w:firstLine="482"/>
    </w:pPr>
    <w:rPr>
      <w:rFonts w:cs="宋体"/>
      <w:szCs w:val="20"/>
    </w:rPr>
  </w:style>
  <w:style w:type="paragraph" w:customStyle="1" w:styleId="105">
    <w:name w:val="正文正"/>
    <w:basedOn w:val="1"/>
    <w:autoRedefine/>
    <w:qFormat/>
    <w:uiPriority w:val="0"/>
    <w:pPr>
      <w:spacing w:line="560" w:lineRule="exact"/>
      <w:ind w:firstLine="561"/>
    </w:pPr>
    <w:rPr>
      <w:rFonts w:eastAsia="仿宋_GB2312"/>
      <w:sz w:val="28"/>
      <w:szCs w:val="24"/>
    </w:rPr>
  </w:style>
  <w:style w:type="paragraph" w:styleId="106">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107">
    <w:name w:val="重点标注"/>
    <w:basedOn w:val="108"/>
    <w:qFormat/>
    <w:uiPriority w:val="0"/>
    <w:pPr>
      <w:ind w:left="0" w:leftChars="0"/>
    </w:pPr>
    <w:rPr>
      <w:bCs/>
      <w:color w:val="EE0000"/>
      <w:szCs w:val="24"/>
    </w:rPr>
  </w:style>
  <w:style w:type="paragraph" w:customStyle="1" w:styleId="108">
    <w:name w:val="条例缩进"/>
    <w:qFormat/>
    <w:uiPriority w:val="0"/>
    <w:pPr>
      <w:spacing w:after="0" w:line="360" w:lineRule="auto"/>
      <w:ind w:left="200" w:leftChars="200"/>
    </w:pPr>
    <w:rPr>
      <w:rFonts w:ascii="Times New Roman" w:hAnsi="Times New Roman" w:eastAsia="宋体" w:cstheme="minorBidi"/>
      <w:color w:val="000000"/>
      <w:kern w:val="0"/>
      <w:sz w:val="21"/>
      <w:szCs w:val="22"/>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微软（中国）有限公司</Company>
  <Pages>15</Pages>
  <Words>3761</Words>
  <Characters>4139</Characters>
  <Lines>37</Lines>
  <Paragraphs>10</Paragraphs>
  <TotalTime>4</TotalTime>
  <ScaleCrop>false</ScaleCrop>
  <LinksUpToDate>false</LinksUpToDate>
  <CharactersWithSpaces>4223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2013-02-20T07:24:00Z</dcterms:created>
  <dc:creator>微软（中国）有限公司</dc:creator>
  <cp:lastModifiedBy>总务科</cp:lastModifiedBy>
  <cp:lastPrinted>2018-05-25T09:25:00Z</cp:lastPrinted>
  <dcterms:modified xsi:type="dcterms:W3CDTF">2026-08-19T08:54:52Z</dcterms:modified>
  <dc:title>第一部分</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D658FCA1370E4727A73959A458AA31A9_13</vt:lpwstr>
  </property>
  <property fmtid="{D5CDD505-2E9C-101B-9397-08002B2CF9AE}" pid="4" name="KSOTemplateDocerSaveRecord">
    <vt:lpwstr>eyJoZGlkIjoiZjQ2OWE0ODg4ZDU0ZWM2YTgxN2Y4OGUyN2QwNGFiYmMiLCJ1c2VySWQiOiI1ODk2OTYzNzUifQ==</vt:lpwstr>
  </property>
</Properties>
</file>